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1E08C" w14:textId="77777777" w:rsidR="00820E96" w:rsidRPr="002D6F59" w:rsidRDefault="00820E96" w:rsidP="00B17AB2">
      <w:pPr>
        <w:spacing w:line="276" w:lineRule="auto"/>
        <w:jc w:val="center"/>
        <w:rPr>
          <w:rFonts w:ascii="Century Gothic" w:hAnsi="Century Gothic" w:cs="Arial"/>
          <w:b/>
        </w:rPr>
      </w:pPr>
      <w:r w:rsidRPr="002D6F59">
        <w:rPr>
          <w:rFonts w:ascii="Century Gothic" w:hAnsi="Century Gothic" w:cs="Arial"/>
          <w:b/>
        </w:rPr>
        <w:t>INFORME DE PONENCIA PARA PRIMER DEBATE AL PROYECTO DE ACTO LEGISLATIVO 001 DE 2019 CÁMARA</w:t>
      </w:r>
    </w:p>
    <w:p w14:paraId="5B701D52" w14:textId="77777777" w:rsidR="00820E96" w:rsidRPr="002D6F59" w:rsidRDefault="00820E96" w:rsidP="00B17AB2">
      <w:pPr>
        <w:spacing w:line="276" w:lineRule="auto"/>
        <w:jc w:val="center"/>
        <w:rPr>
          <w:rFonts w:ascii="Century Gothic" w:hAnsi="Century Gothic" w:cs="Arial"/>
          <w:b/>
        </w:rPr>
      </w:pPr>
    </w:p>
    <w:p w14:paraId="7721B10C" w14:textId="77777777" w:rsidR="00820E96" w:rsidRPr="002D6F59" w:rsidRDefault="00820E96" w:rsidP="00B17AB2">
      <w:pPr>
        <w:spacing w:after="240" w:line="276" w:lineRule="auto"/>
        <w:jc w:val="center"/>
        <w:rPr>
          <w:rFonts w:ascii="Century Gothic" w:hAnsi="Century Gothic" w:cs="Arial"/>
        </w:rPr>
      </w:pPr>
      <w:r w:rsidRPr="002D6F59">
        <w:rPr>
          <w:rFonts w:ascii="Century Gothic" w:hAnsi="Century Gothic" w:cs="Arial"/>
          <w:i/>
        </w:rPr>
        <w:t xml:space="preserve">“Por medio del cual se modifica el artículo 34 de la Constitución Política, suprimiendo la prohibición de la pena de prisión perpetua y estableciendo la prisión perpetua revisable” – </w:t>
      </w:r>
      <w:r w:rsidRPr="002D6F59">
        <w:rPr>
          <w:rFonts w:ascii="Century Gothic" w:hAnsi="Century Gothic" w:cs="Arial"/>
        </w:rPr>
        <w:t>En memoria de Gilma Jiménez</w:t>
      </w:r>
    </w:p>
    <w:p w14:paraId="62920687" w14:textId="77777777" w:rsidR="00820E96" w:rsidRPr="002D6F59" w:rsidRDefault="00820E96" w:rsidP="00B17AB2">
      <w:pPr>
        <w:spacing w:after="240" w:line="276" w:lineRule="auto"/>
        <w:jc w:val="center"/>
        <w:rPr>
          <w:rFonts w:ascii="Century Gothic" w:hAnsi="Century Gothic" w:cs="Arial"/>
          <w:i/>
        </w:rPr>
      </w:pPr>
      <w:r w:rsidRPr="002D6F59">
        <w:rPr>
          <w:rFonts w:ascii="Century Gothic" w:hAnsi="Century Gothic" w:cs="Arial"/>
          <w:b/>
        </w:rPr>
        <w:t>ACUMULADO CON EL</w:t>
      </w:r>
      <w:r w:rsidRPr="002D6F59">
        <w:rPr>
          <w:rFonts w:ascii="Century Gothic" w:hAnsi="Century Gothic" w:cs="Arial"/>
          <w:b/>
          <w:i/>
        </w:rPr>
        <w:t xml:space="preserve"> </w:t>
      </w:r>
      <w:r w:rsidRPr="002D6F59">
        <w:rPr>
          <w:rFonts w:ascii="Century Gothic" w:hAnsi="Century Gothic" w:cs="Arial"/>
          <w:b/>
        </w:rPr>
        <w:t>PROYECTO DE ACTO LEGISLATIVO 047 DE 2019 CÁMARA</w:t>
      </w:r>
      <w:r w:rsidRPr="002D6F59">
        <w:rPr>
          <w:rFonts w:ascii="Century Gothic" w:hAnsi="Century Gothic" w:cs="Arial"/>
        </w:rPr>
        <w:t xml:space="preserve"> </w:t>
      </w:r>
    </w:p>
    <w:p w14:paraId="17115BE9" w14:textId="77777777" w:rsidR="00820E96" w:rsidRPr="002D6F59" w:rsidRDefault="00820E96" w:rsidP="00B17AB2">
      <w:pPr>
        <w:spacing w:after="240" w:line="276" w:lineRule="auto"/>
        <w:jc w:val="center"/>
        <w:rPr>
          <w:rFonts w:ascii="Century Gothic" w:hAnsi="Century Gothic" w:cs="Arial"/>
        </w:rPr>
      </w:pPr>
      <w:r w:rsidRPr="002D6F59">
        <w:rPr>
          <w:rFonts w:ascii="Century Gothic" w:hAnsi="Century Gothic" w:cs="Arial"/>
          <w:i/>
        </w:rPr>
        <w:t>“Por medio del cual se modifica el artículo 34 de la Constitución Política, estableciendo la prisión perpetua revisable, y se dictan otras disposiciones.</w:t>
      </w:r>
    </w:p>
    <w:p w14:paraId="553CF3D0" w14:textId="77777777" w:rsidR="00820E96" w:rsidRPr="002D6F59" w:rsidRDefault="00820E96" w:rsidP="00B17AB2">
      <w:pPr>
        <w:spacing w:line="276" w:lineRule="auto"/>
        <w:jc w:val="both"/>
        <w:rPr>
          <w:rFonts w:ascii="Century Gothic" w:hAnsi="Century Gothic" w:cs="Arial"/>
          <w:lang w:eastAsia="en-US"/>
        </w:rPr>
      </w:pPr>
    </w:p>
    <w:p w14:paraId="44B534C6" w14:textId="595F9629" w:rsidR="00793F85" w:rsidRPr="002D6F59" w:rsidRDefault="00793F85" w:rsidP="00B17AB2">
      <w:pPr>
        <w:spacing w:after="240" w:line="276" w:lineRule="auto"/>
        <w:jc w:val="both"/>
        <w:rPr>
          <w:rFonts w:ascii="Century Gothic" w:hAnsi="Century Gothic" w:cs="Arial"/>
        </w:rPr>
      </w:pPr>
      <w:r w:rsidRPr="002D6F59">
        <w:rPr>
          <w:rFonts w:ascii="Century Gothic" w:hAnsi="Century Gothic" w:cs="Arial"/>
        </w:rPr>
        <w:t xml:space="preserve">En cumplimiento del encargo que nos hiciera la Mesa Directiva de la Comisión Primera Constitucional Permanente y en desarrollo de lo dispuesto en los artículos 150, 153 y 156 de la Ley 5° de 1992, nos permitimos radicar el informe de </w:t>
      </w:r>
      <w:r w:rsidRPr="002D6F59">
        <w:rPr>
          <w:rFonts w:ascii="Century Gothic" w:hAnsi="Century Gothic" w:cs="Arial"/>
          <w:b/>
        </w:rPr>
        <w:t>ponencia positiva</w:t>
      </w:r>
      <w:r w:rsidR="00820E96" w:rsidRPr="002D6F59">
        <w:rPr>
          <w:rFonts w:ascii="Century Gothic" w:hAnsi="Century Gothic" w:cs="Arial"/>
        </w:rPr>
        <w:t xml:space="preserve"> al Proyecto de Acto Legislativo 001 de 2019 Cámara </w:t>
      </w:r>
      <w:r w:rsidR="00820E96" w:rsidRPr="002D6F59">
        <w:rPr>
          <w:rFonts w:ascii="Century Gothic" w:hAnsi="Century Gothic" w:cs="Arial"/>
          <w:i/>
        </w:rPr>
        <w:t xml:space="preserve">“Por medio del cual se modifica el artículo 34 de la Constitución Política, suprimiendo la prohibición de la pena de prisión perpetua y estableciendo la prisión perpetua revisable” – </w:t>
      </w:r>
      <w:r w:rsidR="00820E96" w:rsidRPr="002D6F59">
        <w:rPr>
          <w:rFonts w:ascii="Century Gothic" w:hAnsi="Century Gothic" w:cs="Arial"/>
        </w:rPr>
        <w:t>En memoria de Gilma Jiménez</w:t>
      </w:r>
      <w:r w:rsidR="00820E96" w:rsidRPr="002D6F59">
        <w:rPr>
          <w:rFonts w:ascii="Century Gothic" w:hAnsi="Century Gothic" w:cs="Arial"/>
          <w:i/>
        </w:rPr>
        <w:t xml:space="preserve">, </w:t>
      </w:r>
      <w:r w:rsidR="00820E96" w:rsidRPr="002D6F59">
        <w:rPr>
          <w:rFonts w:ascii="Century Gothic" w:hAnsi="Century Gothic" w:cs="Arial"/>
        </w:rPr>
        <w:t>acumulado con el</w:t>
      </w:r>
      <w:r w:rsidR="00820E96" w:rsidRPr="002D6F59">
        <w:rPr>
          <w:rFonts w:ascii="Century Gothic" w:hAnsi="Century Gothic" w:cs="Arial"/>
          <w:i/>
        </w:rPr>
        <w:t xml:space="preserve"> </w:t>
      </w:r>
      <w:r w:rsidR="00820E96" w:rsidRPr="002D6F59">
        <w:rPr>
          <w:rFonts w:ascii="Century Gothic" w:hAnsi="Century Gothic" w:cs="Arial"/>
        </w:rPr>
        <w:t xml:space="preserve">Proyecto de Acto Legislativo 047 de 2019 Cámara </w:t>
      </w:r>
      <w:r w:rsidR="00820E96" w:rsidRPr="002D6F59">
        <w:rPr>
          <w:rFonts w:ascii="Century Gothic" w:hAnsi="Century Gothic" w:cs="Arial"/>
          <w:i/>
        </w:rPr>
        <w:t xml:space="preserve">“Por medio del cual se modifica el artículo 34 de la Constitución Política, estableciendo la prisión perpetua revisable, y se dictan otras disposiciones.” </w:t>
      </w:r>
    </w:p>
    <w:p w14:paraId="422B08EC" w14:textId="77777777" w:rsidR="00793F85" w:rsidRPr="002D6F59" w:rsidRDefault="00793F85" w:rsidP="00B17AB2">
      <w:pPr>
        <w:spacing w:after="240" w:line="276" w:lineRule="auto"/>
        <w:jc w:val="both"/>
        <w:rPr>
          <w:rFonts w:ascii="Century Gothic" w:hAnsi="Century Gothic" w:cs="Arial"/>
          <w:color w:val="000000" w:themeColor="text1"/>
        </w:rPr>
      </w:pPr>
      <w:r w:rsidRPr="002D6F59">
        <w:rPr>
          <w:rFonts w:ascii="Century Gothic" w:hAnsi="Century Gothic" w:cs="Arial"/>
        </w:rPr>
        <w:t xml:space="preserve">La </w:t>
      </w:r>
      <w:r w:rsidRPr="002D6F59">
        <w:rPr>
          <w:rFonts w:ascii="Century Gothic" w:hAnsi="Century Gothic" w:cs="Arial"/>
          <w:color w:val="000000" w:themeColor="text1"/>
        </w:rPr>
        <w:t xml:space="preserve">presente ponencia consta de las siguientes partes: </w:t>
      </w:r>
    </w:p>
    <w:p w14:paraId="08021623" w14:textId="77777777" w:rsidR="00793F85" w:rsidRPr="002D6F59" w:rsidRDefault="00793F85"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 xml:space="preserve">TRÁMITE </w:t>
      </w:r>
      <w:r w:rsidRPr="002D6F59">
        <w:rPr>
          <w:rFonts w:ascii="Century Gothic" w:hAnsi="Century Gothic" w:cs="Arial"/>
          <w:b/>
          <w:sz w:val="24"/>
          <w:szCs w:val="24"/>
        </w:rPr>
        <w:t>DE LA INICIATIVA</w:t>
      </w:r>
      <w:r w:rsidRPr="002D6F59">
        <w:rPr>
          <w:rFonts w:ascii="Century Gothic" w:hAnsi="Century Gothic" w:cs="Arial"/>
          <w:b/>
          <w:color w:val="000000" w:themeColor="text1"/>
          <w:sz w:val="24"/>
          <w:szCs w:val="24"/>
        </w:rPr>
        <w:t xml:space="preserve">. </w:t>
      </w:r>
    </w:p>
    <w:p w14:paraId="5317EC5E" w14:textId="77777777" w:rsidR="00793F85" w:rsidRPr="002D6F59" w:rsidRDefault="00793F85"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 xml:space="preserve">OBJETIVO DE LA PROPUESTA. </w:t>
      </w:r>
    </w:p>
    <w:p w14:paraId="57D3C011" w14:textId="5CF20A69" w:rsidR="00793F85" w:rsidRPr="002D6F59" w:rsidRDefault="00793F85"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ANTECEDENTES DE LA INICIATIVA.</w:t>
      </w:r>
    </w:p>
    <w:p w14:paraId="0A7245F2" w14:textId="77777777" w:rsidR="00BC121A" w:rsidRPr="002D6F59" w:rsidRDefault="00BC121A"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LAS RAZONES DEL LLAMAMIENTO AL CONGRESO PARA LEGISLAR SOBRE LA MATERIA</w:t>
      </w:r>
    </w:p>
    <w:p w14:paraId="6F0062AA" w14:textId="2CC8654C" w:rsidR="00BC121A" w:rsidRPr="002D6F59" w:rsidRDefault="00BC121A" w:rsidP="00B17AB2">
      <w:pPr>
        <w:pStyle w:val="Prrafodelista"/>
        <w:numPr>
          <w:ilvl w:val="0"/>
          <w:numId w:val="21"/>
        </w:numPr>
        <w:spacing w:after="240"/>
        <w:jc w:val="both"/>
        <w:rPr>
          <w:rFonts w:ascii="Century Gothic" w:hAnsi="Century Gothic" w:cs="Arial"/>
          <w:b/>
          <w:color w:val="000000" w:themeColor="text1"/>
          <w:sz w:val="24"/>
          <w:szCs w:val="24"/>
        </w:rPr>
      </w:pPr>
      <w:r w:rsidRPr="002D6F59">
        <w:rPr>
          <w:rFonts w:ascii="Century Gothic" w:hAnsi="Century Gothic" w:cs="Arial"/>
          <w:b/>
          <w:sz w:val="24"/>
          <w:szCs w:val="24"/>
        </w:rPr>
        <w:t xml:space="preserve">La cadena perpetua en la legislación comparada </w:t>
      </w:r>
    </w:p>
    <w:p w14:paraId="3AAEE2CA" w14:textId="292D433A" w:rsidR="00BC121A" w:rsidRPr="002D6F59" w:rsidRDefault="00BC121A" w:rsidP="00B17AB2">
      <w:pPr>
        <w:pStyle w:val="Prrafodelista"/>
        <w:numPr>
          <w:ilvl w:val="0"/>
          <w:numId w:val="21"/>
        </w:numPr>
        <w:spacing w:after="240"/>
        <w:jc w:val="both"/>
        <w:rPr>
          <w:rFonts w:ascii="Century Gothic" w:hAnsi="Century Gothic" w:cs="Arial"/>
          <w:b/>
          <w:color w:val="000000" w:themeColor="text1"/>
          <w:sz w:val="24"/>
          <w:szCs w:val="24"/>
        </w:rPr>
      </w:pPr>
      <w:r w:rsidRPr="002D6F59">
        <w:rPr>
          <w:rFonts w:ascii="Century Gothic" w:hAnsi="Century Gothic" w:cs="Arial"/>
          <w:b/>
          <w:sz w:val="24"/>
          <w:szCs w:val="24"/>
        </w:rPr>
        <w:t>El aumento de los delitos que afectan la libertad, integridad y formación sexuales de los niños, niñas y adolescentes en Colombia</w:t>
      </w:r>
    </w:p>
    <w:p w14:paraId="7912180F" w14:textId="5CE84F48" w:rsidR="00BC121A" w:rsidRPr="002D6F59" w:rsidRDefault="00BC121A" w:rsidP="00B17AB2">
      <w:pPr>
        <w:pStyle w:val="Prrafodelista"/>
        <w:numPr>
          <w:ilvl w:val="0"/>
          <w:numId w:val="21"/>
        </w:numPr>
        <w:spacing w:after="0"/>
        <w:jc w:val="both"/>
        <w:rPr>
          <w:rFonts w:ascii="Century Gothic" w:hAnsi="Century Gothic" w:cs="Arial"/>
          <w:b/>
          <w:sz w:val="24"/>
          <w:szCs w:val="24"/>
        </w:rPr>
      </w:pPr>
      <w:r w:rsidRPr="002D6F59">
        <w:rPr>
          <w:rFonts w:ascii="Century Gothic" w:hAnsi="Century Gothic" w:cs="Arial"/>
          <w:b/>
          <w:sz w:val="24"/>
          <w:szCs w:val="24"/>
        </w:rPr>
        <w:t>L</w:t>
      </w:r>
      <w:r w:rsidR="003878D4" w:rsidRPr="002D6F59">
        <w:rPr>
          <w:rFonts w:ascii="Century Gothic" w:hAnsi="Century Gothic" w:cs="Arial"/>
          <w:b/>
          <w:sz w:val="24"/>
          <w:szCs w:val="24"/>
        </w:rPr>
        <w:t>a</w:t>
      </w:r>
      <w:r w:rsidRPr="002D6F59">
        <w:rPr>
          <w:rFonts w:ascii="Century Gothic" w:hAnsi="Century Gothic" w:cs="Arial"/>
          <w:b/>
          <w:sz w:val="24"/>
          <w:szCs w:val="24"/>
        </w:rPr>
        <w:t xml:space="preserve"> prevalencia de los derechos de los niños, niñas y adolescentes en la constitución política y en los tratados internacionales.</w:t>
      </w:r>
    </w:p>
    <w:p w14:paraId="508B32C8" w14:textId="295D29EB" w:rsidR="00BC121A" w:rsidRPr="002D6F59" w:rsidRDefault="00BC121A" w:rsidP="00B17AB2">
      <w:pPr>
        <w:pStyle w:val="Prrafodelista"/>
        <w:numPr>
          <w:ilvl w:val="0"/>
          <w:numId w:val="21"/>
        </w:numPr>
        <w:spacing w:after="0"/>
        <w:jc w:val="both"/>
        <w:rPr>
          <w:rFonts w:ascii="Century Gothic" w:hAnsi="Century Gothic" w:cs="Arial"/>
          <w:b/>
          <w:sz w:val="24"/>
          <w:szCs w:val="24"/>
        </w:rPr>
      </w:pPr>
      <w:r w:rsidRPr="002D6F59">
        <w:rPr>
          <w:rFonts w:ascii="Century Gothic" w:hAnsi="Century Gothic" w:cs="Arial"/>
          <w:b/>
          <w:sz w:val="24"/>
          <w:szCs w:val="24"/>
        </w:rPr>
        <w:t>Las actuales penas para los delitos que atentan contra la libertad integridad información sexual de los niños, niños y adolescentes no son proporcionales respecto de la gravedad de estas conductas.</w:t>
      </w:r>
    </w:p>
    <w:p w14:paraId="7419E2B4" w14:textId="46CC2F21" w:rsidR="00BC121A" w:rsidRPr="002D6F59" w:rsidRDefault="00BC121A" w:rsidP="00B17AB2">
      <w:pPr>
        <w:pStyle w:val="Prrafodelista"/>
        <w:numPr>
          <w:ilvl w:val="0"/>
          <w:numId w:val="21"/>
        </w:numPr>
        <w:spacing w:after="0"/>
        <w:jc w:val="both"/>
        <w:rPr>
          <w:rFonts w:ascii="Century Gothic" w:hAnsi="Century Gothic" w:cs="Arial"/>
          <w:b/>
          <w:sz w:val="24"/>
          <w:szCs w:val="24"/>
        </w:rPr>
      </w:pPr>
      <w:r w:rsidRPr="002D6F59">
        <w:rPr>
          <w:rFonts w:ascii="Century Gothic" w:hAnsi="Century Gothic" w:cs="Arial"/>
          <w:b/>
          <w:sz w:val="24"/>
          <w:szCs w:val="24"/>
        </w:rPr>
        <w:lastRenderedPageBreak/>
        <w:t>El proyecto de acto legislativo no niega el carácter resocializador de la pena</w:t>
      </w:r>
    </w:p>
    <w:p w14:paraId="4A3CB289" w14:textId="5D58902D" w:rsidR="003878D4" w:rsidRPr="002D6F59" w:rsidRDefault="003878D4" w:rsidP="00B17AB2">
      <w:pPr>
        <w:pStyle w:val="Prrafodelista"/>
        <w:numPr>
          <w:ilvl w:val="0"/>
          <w:numId w:val="21"/>
        </w:numPr>
        <w:spacing w:after="0"/>
        <w:jc w:val="both"/>
        <w:rPr>
          <w:rFonts w:ascii="Century Gothic" w:hAnsi="Century Gothic" w:cs="Arial"/>
          <w:b/>
          <w:bCs/>
          <w:caps/>
          <w:sz w:val="24"/>
          <w:szCs w:val="24"/>
        </w:rPr>
      </w:pPr>
      <w:r w:rsidRPr="002D6F59">
        <w:rPr>
          <w:rFonts w:ascii="Century Gothic" w:hAnsi="Century Gothic" w:cs="Arial"/>
          <w:b/>
          <w:bCs/>
          <w:sz w:val="24"/>
          <w:szCs w:val="24"/>
        </w:rPr>
        <w:t>Los tratados internacionales no prohíben la  pena de prisión perpetua</w:t>
      </w:r>
    </w:p>
    <w:p w14:paraId="798F4918" w14:textId="3697E5D6" w:rsidR="003878D4" w:rsidRPr="002D6F59" w:rsidRDefault="003878D4" w:rsidP="00B17AB2">
      <w:pPr>
        <w:pStyle w:val="Prrafodelista"/>
        <w:numPr>
          <w:ilvl w:val="0"/>
          <w:numId w:val="21"/>
        </w:numPr>
        <w:spacing w:after="0"/>
        <w:jc w:val="both"/>
        <w:rPr>
          <w:rFonts w:ascii="Century Gothic" w:hAnsi="Century Gothic" w:cs="Arial"/>
          <w:b/>
          <w:sz w:val="24"/>
          <w:szCs w:val="24"/>
        </w:rPr>
      </w:pPr>
      <w:r w:rsidRPr="002D6F59">
        <w:rPr>
          <w:rFonts w:ascii="Century Gothic" w:hAnsi="Century Gothic" w:cs="Arial"/>
          <w:b/>
          <w:sz w:val="24"/>
          <w:szCs w:val="24"/>
        </w:rPr>
        <w:t>La cadena perpetua no resulta una medida desproporcionalmente costosa</w:t>
      </w:r>
    </w:p>
    <w:p w14:paraId="01CFB020" w14:textId="41CCDD9D" w:rsidR="003878D4" w:rsidRPr="002D6F59" w:rsidRDefault="003878D4" w:rsidP="00B17AB2">
      <w:pPr>
        <w:pStyle w:val="Prrafodelista"/>
        <w:numPr>
          <w:ilvl w:val="0"/>
          <w:numId w:val="21"/>
        </w:numPr>
        <w:spacing w:after="0"/>
        <w:ind w:left="1077" w:hanging="357"/>
        <w:jc w:val="both"/>
        <w:rPr>
          <w:rFonts w:ascii="Century Gothic" w:hAnsi="Century Gothic" w:cs="Arial"/>
          <w:b/>
          <w:color w:val="000000" w:themeColor="text1"/>
          <w:sz w:val="24"/>
          <w:szCs w:val="24"/>
          <w:lang w:val="es-ES_tradnl"/>
        </w:rPr>
      </w:pPr>
      <w:r w:rsidRPr="002D6F59">
        <w:rPr>
          <w:rFonts w:ascii="Century Gothic" w:hAnsi="Century Gothic" w:cs="Arial"/>
          <w:b/>
          <w:sz w:val="24"/>
          <w:szCs w:val="24"/>
        </w:rPr>
        <w:t>Los delitos sexuales contra menores tienen un alto nivel de reincidencia en Colombia</w:t>
      </w:r>
    </w:p>
    <w:p w14:paraId="7AE8FB00" w14:textId="0DE172DD" w:rsidR="00793F85" w:rsidRPr="002D6F59" w:rsidRDefault="003878D4" w:rsidP="00B17AB2">
      <w:pPr>
        <w:pStyle w:val="Prrafodelista"/>
        <w:numPr>
          <w:ilvl w:val="0"/>
          <w:numId w:val="15"/>
        </w:numPr>
        <w:spacing w:after="240"/>
        <w:jc w:val="both"/>
        <w:rPr>
          <w:rFonts w:ascii="Century Gothic" w:hAnsi="Century Gothic" w:cs="Arial"/>
          <w:b/>
          <w:sz w:val="24"/>
          <w:szCs w:val="24"/>
        </w:rPr>
      </w:pPr>
      <w:r w:rsidRPr="002D6F59">
        <w:rPr>
          <w:rFonts w:ascii="Century Gothic" w:hAnsi="Century Gothic" w:cs="Arial"/>
          <w:b/>
          <w:sz w:val="24"/>
          <w:szCs w:val="24"/>
        </w:rPr>
        <w:t>UNA MIRADA DESDE LO JURÍDICO CONSTITUCIONAL DE LA CADENA PERPETUA EXCEPCIONAL</w:t>
      </w:r>
      <w:r w:rsidR="00793F85" w:rsidRPr="002D6F59">
        <w:rPr>
          <w:rFonts w:ascii="Century Gothic" w:eastAsia="Times New Roman" w:hAnsi="Century Gothic" w:cs="Arial"/>
          <w:b/>
          <w:sz w:val="24"/>
          <w:szCs w:val="24"/>
        </w:rPr>
        <w:t>.</w:t>
      </w:r>
    </w:p>
    <w:p w14:paraId="1D004C3F" w14:textId="2EEF5BB7" w:rsidR="003878D4" w:rsidRPr="002D6F59" w:rsidRDefault="003878D4" w:rsidP="00B17AB2">
      <w:pPr>
        <w:pStyle w:val="Prrafodelista"/>
        <w:numPr>
          <w:ilvl w:val="0"/>
          <w:numId w:val="44"/>
        </w:numPr>
        <w:spacing w:after="240"/>
        <w:ind w:left="1077" w:hanging="357"/>
        <w:jc w:val="both"/>
        <w:rPr>
          <w:rFonts w:ascii="Century Gothic" w:hAnsi="Century Gothic" w:cs="Arial"/>
          <w:b/>
          <w:sz w:val="24"/>
          <w:szCs w:val="24"/>
        </w:rPr>
      </w:pPr>
      <w:r w:rsidRPr="002D6F59">
        <w:rPr>
          <w:rFonts w:ascii="Century Gothic" w:hAnsi="Century Gothic" w:cs="Arial"/>
          <w:b/>
          <w:sz w:val="24"/>
          <w:szCs w:val="24"/>
        </w:rPr>
        <w:t>La dimensión de la dignidad humana</w:t>
      </w:r>
    </w:p>
    <w:p w14:paraId="6751246D" w14:textId="67A95D7D" w:rsidR="003878D4" w:rsidRPr="002D6F59" w:rsidRDefault="003878D4" w:rsidP="00B17AB2">
      <w:pPr>
        <w:pStyle w:val="Prrafodelista"/>
        <w:numPr>
          <w:ilvl w:val="0"/>
          <w:numId w:val="44"/>
        </w:numPr>
        <w:spacing w:after="240"/>
        <w:ind w:left="1077" w:hanging="357"/>
        <w:jc w:val="both"/>
        <w:rPr>
          <w:rFonts w:ascii="Century Gothic" w:hAnsi="Century Gothic" w:cs="Arial"/>
          <w:b/>
          <w:sz w:val="24"/>
          <w:szCs w:val="24"/>
        </w:rPr>
      </w:pPr>
      <w:r w:rsidRPr="002D6F59">
        <w:rPr>
          <w:rFonts w:ascii="Century Gothic" w:hAnsi="Century Gothic" w:cs="Arial"/>
          <w:b/>
          <w:sz w:val="24"/>
          <w:szCs w:val="24"/>
        </w:rPr>
        <w:t>La competencia del constituyente secundario para reformar el artículo 34 de la Constitución.</w:t>
      </w:r>
    </w:p>
    <w:p w14:paraId="28C6A4B4" w14:textId="5DB79C57" w:rsidR="003878D4" w:rsidRPr="002D6F59" w:rsidRDefault="00233C0B" w:rsidP="00B17AB2">
      <w:pPr>
        <w:pStyle w:val="Prrafodelista"/>
        <w:numPr>
          <w:ilvl w:val="0"/>
          <w:numId w:val="44"/>
        </w:numPr>
        <w:spacing w:after="240"/>
        <w:ind w:left="1077" w:hanging="357"/>
        <w:jc w:val="both"/>
        <w:rPr>
          <w:rFonts w:ascii="Century Gothic" w:hAnsi="Century Gothic" w:cs="Arial"/>
          <w:b/>
          <w:sz w:val="24"/>
          <w:szCs w:val="24"/>
        </w:rPr>
      </w:pPr>
      <w:r w:rsidRPr="002D6F59">
        <w:rPr>
          <w:rFonts w:ascii="Century Gothic" w:hAnsi="Century Gothic" w:cs="Arial"/>
          <w:b/>
          <w:sz w:val="24"/>
          <w:szCs w:val="24"/>
        </w:rPr>
        <w:t>Las cargas que no corresponde a los niños, niñas y adolescentes soportar frente al deber de protección del Estado.</w:t>
      </w:r>
    </w:p>
    <w:p w14:paraId="56F22AB5" w14:textId="77777777" w:rsidR="00793F85" w:rsidRPr="002D6F59" w:rsidRDefault="00793F85"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PLIEGO DE MODIFICACIONES.</w:t>
      </w:r>
    </w:p>
    <w:p w14:paraId="235D3766" w14:textId="77777777" w:rsidR="00793F85" w:rsidRPr="002D6F59" w:rsidRDefault="00793F85"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PROPOSICIÓN.</w:t>
      </w:r>
    </w:p>
    <w:p w14:paraId="4A230F22" w14:textId="77777777" w:rsidR="00793F85" w:rsidRPr="002D6F59" w:rsidRDefault="00793F85" w:rsidP="00B17AB2">
      <w:pPr>
        <w:pStyle w:val="Prrafodelista"/>
        <w:spacing w:after="240"/>
        <w:ind w:left="1080"/>
        <w:jc w:val="both"/>
        <w:rPr>
          <w:rFonts w:ascii="Century Gothic" w:hAnsi="Century Gothic" w:cs="Arial"/>
          <w:b/>
          <w:color w:val="FF0000"/>
          <w:sz w:val="24"/>
          <w:szCs w:val="24"/>
        </w:rPr>
      </w:pPr>
    </w:p>
    <w:p w14:paraId="3E086557" w14:textId="77777777" w:rsidR="00793F85" w:rsidRPr="002D6F59" w:rsidRDefault="00793F85" w:rsidP="00B17AB2">
      <w:pPr>
        <w:pStyle w:val="Prrafodelista"/>
        <w:numPr>
          <w:ilvl w:val="0"/>
          <w:numId w:val="30"/>
        </w:numPr>
        <w:spacing w:after="240"/>
        <w:jc w:val="center"/>
        <w:rPr>
          <w:rFonts w:ascii="Century Gothic" w:hAnsi="Century Gothic" w:cs="Arial"/>
          <w:b/>
          <w:sz w:val="24"/>
          <w:szCs w:val="24"/>
        </w:rPr>
      </w:pPr>
      <w:r w:rsidRPr="002D6F59">
        <w:rPr>
          <w:rFonts w:ascii="Century Gothic" w:hAnsi="Century Gothic" w:cs="Arial"/>
          <w:b/>
          <w:sz w:val="24"/>
          <w:szCs w:val="24"/>
        </w:rPr>
        <w:t>TRÁMITE DE LA INICIATIVA</w:t>
      </w:r>
    </w:p>
    <w:p w14:paraId="63249A36" w14:textId="77777777" w:rsidR="00793F85" w:rsidRPr="002D6F59" w:rsidRDefault="00793F85" w:rsidP="00B17AB2">
      <w:pPr>
        <w:spacing w:after="240" w:line="276" w:lineRule="auto"/>
        <w:jc w:val="both"/>
        <w:rPr>
          <w:rFonts w:ascii="Century Gothic" w:hAnsi="Century Gothic" w:cs="Arial"/>
        </w:rPr>
      </w:pPr>
      <w:r w:rsidRPr="002D6F59">
        <w:rPr>
          <w:rFonts w:ascii="Century Gothic" w:hAnsi="Century Gothic" w:cs="Arial"/>
        </w:rPr>
        <w:t xml:space="preserve">El Proyecto de Acto Legislativo 001 de 2019 Cámara </w:t>
      </w:r>
      <w:r w:rsidRPr="002D6F59">
        <w:rPr>
          <w:rFonts w:ascii="Century Gothic" w:hAnsi="Century Gothic" w:cs="Arial"/>
          <w:i/>
        </w:rPr>
        <w:t>“Por medio del cual se modifica el artículo 34 de la Constitución Política, suprimiendo la prohibición de la pena de prisión perpetua y estableciendo la prisión perpetua revisable</w:t>
      </w:r>
      <w:r w:rsidRPr="002D6F59">
        <w:rPr>
          <w:rFonts w:ascii="Century Gothic" w:hAnsi="Century Gothic" w:cs="Arial"/>
        </w:rPr>
        <w:t xml:space="preserve">” – En memoria de Gilma Jiménez, es de autoría de los Honorables Representantes </w:t>
      </w:r>
      <w:hyperlink r:id="rId8" w:history="1">
        <w:r w:rsidRPr="002D6F59">
          <w:rPr>
            <w:rFonts w:ascii="Century Gothic" w:hAnsi="Century Gothic" w:cs="Arial"/>
          </w:rPr>
          <w:t>Martha Patricia Villalba Hodwalker</w:t>
        </w:r>
      </w:hyperlink>
      <w:r w:rsidRPr="002D6F59">
        <w:rPr>
          <w:rFonts w:ascii="Century Gothic" w:hAnsi="Century Gothic" w:cs="Arial"/>
        </w:rPr>
        <w:t xml:space="preserve">, Adriana Magali Matiz Vargas, Jorge Burgos Lugo, </w:t>
      </w:r>
      <w:hyperlink r:id="rId9" w:history="1">
        <w:r w:rsidRPr="002D6F59">
          <w:rPr>
            <w:rFonts w:ascii="Century Gothic" w:hAnsi="Century Gothic" w:cs="Arial"/>
          </w:rPr>
          <w:t>Harry Giovanny González García</w:t>
        </w:r>
      </w:hyperlink>
      <w:r w:rsidRPr="002D6F59">
        <w:rPr>
          <w:rFonts w:ascii="Century Gothic" w:hAnsi="Century Gothic" w:cs="Arial"/>
        </w:rPr>
        <w:t xml:space="preserve">, Cesar Augusto Lorduy Maldonado, Emeterio Montes, Norma Hurtado, entre otros, radicado ante la Secretaría General de la Cámara de Representantes el día 20 de julio de 2019 y publicado en la Gaceta del Congreso número 664 de 2019. </w:t>
      </w:r>
    </w:p>
    <w:p w14:paraId="0E3D0122" w14:textId="77777777" w:rsidR="00793F85" w:rsidRPr="002D6F59" w:rsidRDefault="00793F85" w:rsidP="00B17AB2">
      <w:pPr>
        <w:spacing w:after="240" w:line="276" w:lineRule="auto"/>
        <w:jc w:val="both"/>
        <w:rPr>
          <w:rFonts w:ascii="Century Gothic" w:hAnsi="Century Gothic" w:cs="Arial"/>
          <w:i/>
        </w:rPr>
      </w:pPr>
      <w:r w:rsidRPr="002D6F59">
        <w:rPr>
          <w:rFonts w:ascii="Century Gothic" w:hAnsi="Century Gothic" w:cs="Arial"/>
        </w:rPr>
        <w:t>El</w:t>
      </w:r>
      <w:r w:rsidRPr="002D6F59">
        <w:rPr>
          <w:rFonts w:ascii="Century Gothic" w:hAnsi="Century Gothic" w:cs="Arial"/>
          <w:i/>
        </w:rPr>
        <w:t xml:space="preserve"> </w:t>
      </w:r>
      <w:r w:rsidRPr="002D6F59">
        <w:rPr>
          <w:rFonts w:ascii="Century Gothic" w:hAnsi="Century Gothic" w:cs="Arial"/>
        </w:rPr>
        <w:t xml:space="preserve">Proyecto de Acto Legislativo 047 de 2019 Cámara </w:t>
      </w:r>
      <w:r w:rsidRPr="002D6F59">
        <w:rPr>
          <w:rFonts w:ascii="Century Gothic" w:hAnsi="Century Gothic" w:cs="Arial"/>
          <w:i/>
        </w:rPr>
        <w:t xml:space="preserve">“Por medio del cual se modifica el artículo 34 de la Constitución Política, estableciendo la prisión perpetua revisable, y se dictan otras disposiciones”, </w:t>
      </w:r>
      <w:r w:rsidRPr="002D6F59">
        <w:rPr>
          <w:rFonts w:ascii="Century Gothic" w:hAnsi="Century Gothic" w:cs="Arial"/>
        </w:rPr>
        <w:t>es de autoría de los</w:t>
      </w:r>
      <w:r w:rsidRPr="002D6F59">
        <w:rPr>
          <w:rFonts w:ascii="Century Gothic" w:hAnsi="Century Gothic" w:cs="Arial"/>
          <w:i/>
        </w:rPr>
        <w:t xml:space="preserve"> </w:t>
      </w:r>
      <w:r w:rsidRPr="002D6F59">
        <w:rPr>
          <w:rFonts w:ascii="Century Gothic" w:hAnsi="Century Gothic" w:cs="Arial"/>
        </w:rPr>
        <w:t>Honorables Representantes Héctor Vergara, Aquileo Medina, Modesto Aguilera, Jairo Cristo y los Honorables Senadores Andrés García Zuccardi, Emma Castellanos y otras firmas, radicado ante la Secretaría General de la Cámara de Representantes el día 23 de julio del año 2019 y publicado en la Gaceta del Congreso número 669 de 2019.</w:t>
      </w:r>
    </w:p>
    <w:p w14:paraId="55611DF6" w14:textId="77777777" w:rsidR="00793F85" w:rsidRPr="002D6F59" w:rsidRDefault="00793F85" w:rsidP="00B17AB2">
      <w:pPr>
        <w:spacing w:after="240" w:line="276" w:lineRule="auto"/>
        <w:jc w:val="both"/>
        <w:rPr>
          <w:rFonts w:ascii="Century Gothic" w:hAnsi="Century Gothic" w:cs="Arial"/>
        </w:rPr>
      </w:pPr>
      <w:r w:rsidRPr="002D6F59">
        <w:rPr>
          <w:rFonts w:ascii="Century Gothic" w:hAnsi="Century Gothic" w:cs="Arial"/>
        </w:rPr>
        <w:lastRenderedPageBreak/>
        <w:t>El 2 de agosto de la presente anualidad fueron recibidos en la Comisión Primera de la Cámara de Representantes y por designación de la Mesa Directiva de esa Comisión les correspondió a los Representantes Adriana Magali Matiz Vargas, Harry Giovanny González García, Carlos Germán Navas Talero, Elbert Diez Lozano, Cesar Augusto Lorduy Maldonado, José Jaime Uscategui Pastrana, Inti Raúl Asprilla Reyes y Luis Alberto Albán, rendir Informe de ponencia para primer debate en la Cámara de Representantes.</w:t>
      </w:r>
    </w:p>
    <w:p w14:paraId="09C75171" w14:textId="77777777" w:rsidR="00793F85" w:rsidRPr="002D6F59" w:rsidRDefault="00793F85" w:rsidP="00B17AB2">
      <w:pPr>
        <w:spacing w:after="240" w:line="276" w:lineRule="auto"/>
        <w:jc w:val="both"/>
        <w:rPr>
          <w:rFonts w:ascii="Century Gothic" w:hAnsi="Century Gothic" w:cs="Arial"/>
        </w:rPr>
      </w:pPr>
      <w:r w:rsidRPr="002D6F59">
        <w:rPr>
          <w:rFonts w:ascii="Century Gothic" w:hAnsi="Century Gothic" w:cs="Arial"/>
        </w:rPr>
        <w:t xml:space="preserve">Los Proyectos de Acto Legislativo número 001 de 2019 Cámara </w:t>
      </w:r>
      <w:r w:rsidRPr="002D6F59">
        <w:rPr>
          <w:rFonts w:ascii="Century Gothic" w:hAnsi="Century Gothic" w:cs="Arial"/>
          <w:i/>
        </w:rPr>
        <w:t xml:space="preserve">“Por medio del cual se modifica el artículo 34 de la Constitución Política, suprimiendo la prohibición de la pena de prisión </w:t>
      </w:r>
      <w:r w:rsidRPr="002D6F59">
        <w:rPr>
          <w:rFonts w:ascii="Century Gothic" w:hAnsi="Century Gothic" w:cs="Arial"/>
        </w:rPr>
        <w:t xml:space="preserve">perpetua y estableciendo la prisión perpetua revisable” – En memoria de Gilma Jiménez, acumulado con el Proyecto de Acto Legislativo 047 de 2019 Cámara </w:t>
      </w:r>
      <w:r w:rsidRPr="002D6F59">
        <w:rPr>
          <w:rFonts w:ascii="Century Gothic" w:hAnsi="Century Gothic" w:cs="Arial"/>
          <w:i/>
        </w:rPr>
        <w:t>“Por medio del cual se modifica el artículo 34 de la Constitución Política, estableciendo la prisión perpetua revisable, y se dictan otras disposiciones”</w:t>
      </w:r>
      <w:r w:rsidRPr="002D6F59">
        <w:rPr>
          <w:rFonts w:ascii="Century Gothic" w:hAnsi="Century Gothic" w:cs="Arial"/>
        </w:rPr>
        <w:t>, fueron acumulados mediante Oficio C.P.C.P. 3.1- 040 - 2019 el día 5 de agosto de 2019.</w:t>
      </w:r>
    </w:p>
    <w:p w14:paraId="3E8C252E" w14:textId="77777777" w:rsidR="00793F85" w:rsidRPr="002D6F59" w:rsidRDefault="00793F85" w:rsidP="00B17AB2">
      <w:pPr>
        <w:pStyle w:val="Prrafodelista"/>
        <w:numPr>
          <w:ilvl w:val="0"/>
          <w:numId w:val="30"/>
        </w:numPr>
        <w:spacing w:after="240"/>
        <w:jc w:val="center"/>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OBJETIVO DE LA PROPUESTA.</w:t>
      </w:r>
    </w:p>
    <w:p w14:paraId="217B3A58" w14:textId="77DC5711" w:rsidR="00793F85" w:rsidRPr="002D6F59" w:rsidRDefault="00793F85" w:rsidP="00B17AB2">
      <w:pPr>
        <w:spacing w:after="240" w:line="276" w:lineRule="auto"/>
        <w:jc w:val="both"/>
        <w:rPr>
          <w:rFonts w:ascii="Century Gothic" w:hAnsi="Century Gothic" w:cs="Arial"/>
        </w:rPr>
      </w:pPr>
      <w:r w:rsidRPr="002D6F59">
        <w:rPr>
          <w:rFonts w:ascii="Century Gothic" w:hAnsi="Century Gothic" w:cs="Arial"/>
        </w:rPr>
        <w:t>Establecer en nuestro ordenamiento jurídico la prisión perpetua revisable cuando</w:t>
      </w:r>
      <w:r w:rsidR="00B37DB0" w:rsidRPr="002D6F59">
        <w:rPr>
          <w:rFonts w:ascii="Century Gothic" w:hAnsi="Century Gothic" w:cs="Arial"/>
        </w:rPr>
        <w:t xml:space="preserve"> un niño, niña o adolescente sea víctima de las conductas de homicidio en modalidad dolosa, acceso carnal o actos sexuales que impliq</w:t>
      </w:r>
      <w:r w:rsidR="004D798D" w:rsidRPr="002D6F59">
        <w:rPr>
          <w:rFonts w:ascii="Century Gothic" w:hAnsi="Century Gothic" w:cs="Arial"/>
        </w:rPr>
        <w:t>uen violencia o la víctima este</w:t>
      </w:r>
      <w:r w:rsidR="00B37DB0" w:rsidRPr="002D6F59">
        <w:rPr>
          <w:rFonts w:ascii="Century Gothic" w:hAnsi="Century Gothic" w:cs="Arial"/>
        </w:rPr>
        <w:t xml:space="preserve"> en incapacidad de resistir. </w:t>
      </w:r>
      <w:r w:rsidRPr="002D6F59">
        <w:rPr>
          <w:rFonts w:ascii="Century Gothic" w:hAnsi="Century Gothic" w:cs="Arial"/>
        </w:rPr>
        <w:t xml:space="preserve">Por lo anterior, la reforma propuesta, pretende que, de manera </w:t>
      </w:r>
      <w:r w:rsidRPr="002D6F59">
        <w:rPr>
          <w:rFonts w:ascii="Century Gothic" w:hAnsi="Century Gothic" w:cs="Arial"/>
          <w:b/>
        </w:rPr>
        <w:t>excepcional,</w:t>
      </w:r>
      <w:r w:rsidRPr="002D6F59">
        <w:rPr>
          <w:rFonts w:ascii="Century Gothic" w:hAnsi="Century Gothic" w:cs="Arial"/>
        </w:rPr>
        <w:t xml:space="preserve"> se pueda imponer hasta la pena de prisión perpetua,</w:t>
      </w:r>
      <w:r w:rsidR="00B37DB0" w:rsidRPr="002D6F59">
        <w:rPr>
          <w:rFonts w:ascii="Century Gothic" w:hAnsi="Century Gothic" w:cs="Arial"/>
        </w:rPr>
        <w:t xml:space="preserve"> la cual</w:t>
      </w:r>
      <w:r w:rsidRPr="002D6F59">
        <w:rPr>
          <w:rFonts w:ascii="Century Gothic" w:hAnsi="Century Gothic" w:cs="Arial"/>
        </w:rPr>
        <w:t xml:space="preserve"> </w:t>
      </w:r>
      <w:r w:rsidR="00B37DB0" w:rsidRPr="002D6F59">
        <w:rPr>
          <w:rFonts w:ascii="Century Gothic" w:hAnsi="Century Gothic" w:cs="Arial"/>
        </w:rPr>
        <w:t>tendrá control automático ante el superior</w:t>
      </w:r>
      <w:r w:rsidR="00B37DB0" w:rsidRPr="002D6F59">
        <w:rPr>
          <w:rFonts w:ascii="Century Gothic" w:eastAsia="Times New Roman" w:hAnsi="Century Gothic" w:cs="Arial"/>
        </w:rPr>
        <w:t xml:space="preserve"> jerárquico y </w:t>
      </w:r>
      <w:r w:rsidR="004D798D" w:rsidRPr="002D6F59">
        <w:rPr>
          <w:rFonts w:ascii="Century Gothic" w:eastAsia="Times New Roman" w:hAnsi="Century Gothic" w:cs="Arial"/>
        </w:rPr>
        <w:t>será</w:t>
      </w:r>
      <w:r w:rsidR="00B37DB0" w:rsidRPr="002D6F59">
        <w:rPr>
          <w:rFonts w:ascii="Century Gothic" w:eastAsia="Times New Roman" w:hAnsi="Century Gothic" w:cs="Arial"/>
        </w:rPr>
        <w:t xml:space="preserve"> revisada en un plazo no inferior a veinticinco (25) años, para evaluar la resocialización del condenado</w:t>
      </w:r>
      <w:r w:rsidRPr="002D6F59">
        <w:rPr>
          <w:rFonts w:ascii="Century Gothic" w:hAnsi="Century Gothic" w:cs="Arial"/>
        </w:rPr>
        <w:t>. En este orden de ideas, la presente reforma constitucional tiene como fin garantizar la protección de un segmento de la población que hoy se ve expuesto y que debe ser considerado como el tesoro más preciado de nuestro ordenamiento jurídico.</w:t>
      </w:r>
    </w:p>
    <w:p w14:paraId="0F79F346" w14:textId="77777777" w:rsidR="00793F85" w:rsidRPr="002D6F59" w:rsidRDefault="00793F85" w:rsidP="00B17AB2">
      <w:pPr>
        <w:pStyle w:val="Prrafodelista"/>
        <w:numPr>
          <w:ilvl w:val="0"/>
          <w:numId w:val="30"/>
        </w:numPr>
        <w:spacing w:after="240"/>
        <w:jc w:val="center"/>
        <w:rPr>
          <w:rFonts w:ascii="Century Gothic" w:hAnsi="Century Gothic" w:cs="Arial"/>
          <w:b/>
          <w:caps/>
          <w:sz w:val="24"/>
          <w:szCs w:val="24"/>
        </w:rPr>
      </w:pPr>
      <w:r w:rsidRPr="002D6F59">
        <w:rPr>
          <w:rFonts w:ascii="Century Gothic" w:hAnsi="Century Gothic" w:cs="Arial"/>
          <w:b/>
          <w:caps/>
          <w:sz w:val="24"/>
          <w:szCs w:val="24"/>
        </w:rPr>
        <w:t>ANTECEDENTES de la INICIATIVA</w:t>
      </w:r>
    </w:p>
    <w:p w14:paraId="54768BD6" w14:textId="77777777" w:rsidR="00793F85" w:rsidRPr="002D6F59" w:rsidRDefault="00793F85" w:rsidP="00B17AB2">
      <w:pPr>
        <w:spacing w:line="276" w:lineRule="auto"/>
        <w:jc w:val="both"/>
        <w:rPr>
          <w:rFonts w:ascii="Century Gothic" w:hAnsi="Century Gothic" w:cs="Arial"/>
        </w:rPr>
      </w:pPr>
      <w:r w:rsidRPr="002D6F59">
        <w:rPr>
          <w:rFonts w:ascii="Century Gothic" w:hAnsi="Century Gothic" w:cs="Arial"/>
        </w:rPr>
        <w:t xml:space="preserve">El Congreso de la República ha dado trámite, a diversas iniciativas relacionadas con establecer la prisión perpetua en el territorio nacional, tales como las siguientes: </w:t>
      </w:r>
    </w:p>
    <w:p w14:paraId="62DF6E8D" w14:textId="77777777" w:rsidR="00793F85" w:rsidRPr="002D6F59" w:rsidRDefault="00793F85" w:rsidP="00B17AB2">
      <w:pPr>
        <w:spacing w:line="276" w:lineRule="auto"/>
        <w:jc w:val="both"/>
        <w:rPr>
          <w:rFonts w:ascii="Century Gothic" w:hAnsi="Century Gothic" w:cs="Arial"/>
        </w:rPr>
      </w:pPr>
    </w:p>
    <w:p w14:paraId="30A100F3" w14:textId="77777777" w:rsidR="00793F85" w:rsidRPr="002D6F59" w:rsidRDefault="00793F85" w:rsidP="00B17AB2">
      <w:pPr>
        <w:pStyle w:val="Prrafodelista"/>
        <w:numPr>
          <w:ilvl w:val="0"/>
          <w:numId w:val="20"/>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352 de 2019 </w:t>
      </w:r>
      <w:r w:rsidRPr="002D6F59">
        <w:rPr>
          <w:rFonts w:ascii="Century Gothic" w:hAnsi="Century Gothic" w:cs="Arial"/>
          <w:i/>
          <w:sz w:val="24"/>
          <w:szCs w:val="24"/>
          <w:lang w:eastAsia="es-ES"/>
        </w:rPr>
        <w:t xml:space="preserve">“Por medio del cual se modifica el artículo 34 de la Constitución Política, suprimiendo la prohibición de la </w:t>
      </w:r>
      <w:r w:rsidRPr="002D6F59">
        <w:rPr>
          <w:rFonts w:ascii="Century Gothic" w:hAnsi="Century Gothic" w:cs="Arial"/>
          <w:i/>
          <w:sz w:val="24"/>
          <w:szCs w:val="24"/>
          <w:lang w:eastAsia="es-ES"/>
        </w:rPr>
        <w:lastRenderedPageBreak/>
        <w:t xml:space="preserve">pena de prisión perpetua y estableciendo la prisión perpetua revisable” -en memoria de Gilma Jiménez. [Cadena perpetua]”: </w:t>
      </w:r>
      <w:r w:rsidRPr="002D6F59">
        <w:rPr>
          <w:rFonts w:ascii="Century Gothic" w:hAnsi="Century Gothic" w:cs="Arial"/>
          <w:sz w:val="24"/>
          <w:szCs w:val="24"/>
        </w:rPr>
        <w:t>fue presentado a la Secretaría de la Cámara de Representantes el pasado 26 de marzo de 2019 por los Representante a la Cámara Martha Villalba Hodwalker, Adriana Magali Matiz Vargas, Jorge Burgos Lugo, entre otros; fue asignado a la Comisión Primera Constitucional de la Cámara Representantes y retirado el 21 de mayo de 2019.</w:t>
      </w:r>
    </w:p>
    <w:p w14:paraId="2BAE2912" w14:textId="77777777" w:rsidR="00793F85" w:rsidRPr="002D6F59" w:rsidRDefault="00793F85" w:rsidP="00B17AB2">
      <w:pPr>
        <w:pStyle w:val="Prrafodelista"/>
        <w:jc w:val="both"/>
        <w:rPr>
          <w:rFonts w:ascii="Century Gothic" w:hAnsi="Century Gothic" w:cs="Arial"/>
          <w:sz w:val="24"/>
          <w:szCs w:val="24"/>
        </w:rPr>
      </w:pPr>
    </w:p>
    <w:p w14:paraId="536A5342" w14:textId="77777777" w:rsidR="00793F85" w:rsidRPr="002D6F59" w:rsidRDefault="00793F85" w:rsidP="00B17AB2">
      <w:pPr>
        <w:pStyle w:val="Prrafodelista"/>
        <w:numPr>
          <w:ilvl w:val="0"/>
          <w:numId w:val="20"/>
        </w:numPr>
        <w:spacing w:after="0"/>
        <w:jc w:val="both"/>
        <w:rPr>
          <w:rFonts w:ascii="Century Gothic" w:hAnsi="Century Gothic" w:cs="Arial"/>
          <w:sz w:val="24"/>
          <w:szCs w:val="24"/>
        </w:rPr>
      </w:pPr>
      <w:r w:rsidRPr="002D6F59">
        <w:rPr>
          <w:rFonts w:ascii="Century Gothic" w:hAnsi="Century Gothic" w:cs="Arial"/>
          <w:sz w:val="24"/>
          <w:szCs w:val="24"/>
        </w:rPr>
        <w:t>Proyecto de Acto Legislativo 066 de 2018” Por</w:t>
      </w:r>
      <w:r w:rsidRPr="002D6F59">
        <w:rPr>
          <w:rFonts w:ascii="Century Gothic" w:hAnsi="Century Gothic" w:cs="Arial"/>
          <w:i/>
          <w:sz w:val="24"/>
          <w:szCs w:val="24"/>
        </w:rPr>
        <w:t xml:space="preserve"> medio del cual se modifica el artículo 34 de la constitución política, suprimiendo la prohibición de la pena de prisión perpetua”:</w:t>
      </w:r>
      <w:r w:rsidRPr="002D6F59">
        <w:rPr>
          <w:rFonts w:ascii="Century Gothic" w:hAnsi="Century Gothic" w:cs="Arial"/>
          <w:sz w:val="24"/>
          <w:szCs w:val="24"/>
        </w:rPr>
        <w:t xml:space="preserve"> fue presentado a la Secretaría de la Cámara de Representantes el pasado 01 de agosto de 2018 por la Representante a la Cámara Martha Villalba Hodwalker. De la Secretaría de la Cámara el proyecto fue remitido a la Comisión Primera Constitucional para el trámite de su primer debate, dada la complejidad del tema y la necesidad de llevar a cabo la audiencia pública se solicitó a la mesa directiva de la comisión prorrogar el tiempo para presentar la ponencia, petición que fue recibida en la comisión primera el 7 de septiembre de 2018. El día 19 de septiembre del año enunciado se llevó a cabo la Audiencia Pública en donde se escucharon los diferentes comentarios acerca del proyecto de acto legislativo, en consideración a ello a continuación se enuncian: </w:t>
      </w:r>
    </w:p>
    <w:p w14:paraId="3108DBE6" w14:textId="77777777" w:rsidR="00793F85" w:rsidRPr="002D6F59" w:rsidRDefault="00793F85" w:rsidP="00B17AB2">
      <w:pPr>
        <w:pStyle w:val="Prrafodelista"/>
        <w:spacing w:before="100" w:beforeAutospacing="1"/>
        <w:jc w:val="both"/>
        <w:rPr>
          <w:rFonts w:ascii="Century Gothic" w:hAnsi="Century Gothic" w:cs="Arial"/>
          <w:sz w:val="24"/>
          <w:szCs w:val="24"/>
        </w:rPr>
      </w:pPr>
    </w:p>
    <w:p w14:paraId="3BE8E6FD" w14:textId="77777777" w:rsidR="00793F85" w:rsidRPr="002D6F59" w:rsidRDefault="00793F85" w:rsidP="00B17AB2">
      <w:pPr>
        <w:pStyle w:val="Prrafodelista"/>
        <w:spacing w:before="100" w:beforeAutospacing="1"/>
        <w:jc w:val="both"/>
        <w:rPr>
          <w:rFonts w:ascii="Century Gothic" w:hAnsi="Century Gothic" w:cs="Arial"/>
          <w:sz w:val="24"/>
          <w:szCs w:val="24"/>
        </w:rPr>
      </w:pPr>
      <w:r w:rsidRPr="002D6F59">
        <w:rPr>
          <w:rFonts w:ascii="Century Gothic" w:hAnsi="Century Gothic" w:cs="Arial"/>
          <w:sz w:val="24"/>
          <w:szCs w:val="24"/>
        </w:rPr>
        <w:t xml:space="preserve">A) La Procuraduría General de la Nación consideró que el Proyecto de Acto Legislativo es un retroceso en la visión humanística de la carta adoptada de 1991, pues la política criminal no solo se debe tener en cuenta a la víctima y el denominado clamor social, si no los límites del estado frente a quien es objeto de punición, por lo tanto, no se debería admitir penas inhumanas de lo contrario se pondría en riesgo del principio de dignidad humana. En cuanto a la eficacia de la pena afirmó que la doctrina señala que la cadena perpetua no disminuye la delincuencia, en cuanto a la reincidencia esta es consecuencia de que no se logra una adecuada resocialización, concluye que los esfuerzos del legislador deberían centrarse en la prevención y en no aumentar la punición. </w:t>
      </w:r>
    </w:p>
    <w:p w14:paraId="70F248FB" w14:textId="77777777" w:rsidR="00793F85" w:rsidRPr="002D6F59" w:rsidRDefault="00793F85" w:rsidP="00B17AB2">
      <w:pPr>
        <w:spacing w:before="100" w:beforeAutospacing="1" w:line="276" w:lineRule="auto"/>
        <w:ind w:left="708"/>
        <w:jc w:val="both"/>
        <w:rPr>
          <w:rFonts w:ascii="Century Gothic" w:hAnsi="Century Gothic" w:cs="Arial"/>
        </w:rPr>
      </w:pPr>
      <w:r w:rsidRPr="002D6F59">
        <w:rPr>
          <w:rFonts w:ascii="Century Gothic" w:hAnsi="Century Gothic" w:cs="Arial"/>
        </w:rPr>
        <w:t xml:space="preserve">B) La Comisión Colombiana de Juristas realizó observaciones en diferentes aspectos en lo que concierne al principio de dignidad humana, reconociéndole como parte de los cimientos de la </w:t>
      </w:r>
      <w:r w:rsidRPr="002D6F59">
        <w:rPr>
          <w:rFonts w:ascii="Century Gothic" w:hAnsi="Century Gothic" w:cs="Arial"/>
        </w:rPr>
        <w:lastRenderedPageBreak/>
        <w:t>democracia Constitucional Colombiana, como presupuesto esencial y fundamento del ordenamiento jurídico y pilar fundamental del Estado social de Derecho, de igual forma manifestó que la indefinición de la pena desconoce los principios de retribución justa y prevención y resocialización de la pena, y agrega que la prisión perpetua desconoce normas internacionales que prohíben tratos crueles inhumanos y degradantes.</w:t>
      </w:r>
    </w:p>
    <w:p w14:paraId="19E6B38E" w14:textId="77777777" w:rsidR="00793F85" w:rsidRPr="002D6F59" w:rsidRDefault="00793F85" w:rsidP="00B17AB2">
      <w:pPr>
        <w:spacing w:before="100" w:beforeAutospacing="1" w:line="276" w:lineRule="auto"/>
        <w:ind w:left="708"/>
        <w:jc w:val="both"/>
        <w:rPr>
          <w:rFonts w:ascii="Century Gothic" w:hAnsi="Century Gothic" w:cs="Arial"/>
        </w:rPr>
      </w:pPr>
      <w:r w:rsidRPr="002D6F59">
        <w:rPr>
          <w:rFonts w:ascii="Century Gothic" w:hAnsi="Century Gothic" w:cs="Arial"/>
        </w:rPr>
        <w:t xml:space="preserve">C) El INPEC por su parte expreso que la pena tiene una función protectora y preventiva pero su fin fundamental es la resocialización, resaltaron que el desafío es en cuanto al hacinamiento que supera el 47.96% sumado a la infraestructura y así poder garantizar una atención integral y un proceso de resocialización efectivo, por tanto, estas medidas legislativas no son convenientes, si no las que permitan disminuir las tasas de hacinamiento que presentan los centros de reclusión del país. </w:t>
      </w:r>
    </w:p>
    <w:p w14:paraId="4FCA3EE1" w14:textId="3B37E0D2" w:rsidR="002D6F59" w:rsidRDefault="00793F85" w:rsidP="002D6F59">
      <w:pPr>
        <w:spacing w:before="100" w:beforeAutospacing="1" w:line="276" w:lineRule="auto"/>
        <w:ind w:left="708"/>
        <w:jc w:val="both"/>
        <w:rPr>
          <w:rFonts w:ascii="Century Gothic" w:hAnsi="Century Gothic" w:cs="Arial"/>
        </w:rPr>
      </w:pPr>
      <w:r w:rsidRPr="002D6F59">
        <w:rPr>
          <w:rFonts w:ascii="Century Gothic" w:hAnsi="Century Gothic" w:cs="Arial"/>
        </w:rPr>
        <w:t>Después de haber escuchado la audiencia pública, se fijó fecha y fue debatido y aprobado en la comisión primera donde surtió su primer debate. Sin embargo, por vencimiento de términos fue archivado el 17 de diciembre de 2018.</w:t>
      </w:r>
    </w:p>
    <w:p w14:paraId="69B8B054" w14:textId="77777777" w:rsidR="002D6F59" w:rsidRPr="002D6F59" w:rsidRDefault="002D6F59" w:rsidP="002D6F59">
      <w:pPr>
        <w:jc w:val="both"/>
        <w:rPr>
          <w:rFonts w:ascii="Century Gothic" w:hAnsi="Century Gothic" w:cs="Arial"/>
        </w:rPr>
      </w:pPr>
    </w:p>
    <w:p w14:paraId="53D1482A" w14:textId="77777777" w:rsidR="00793F85" w:rsidRPr="002D6F59" w:rsidRDefault="00793F85" w:rsidP="00B17AB2">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223 de 2018 Cámara </w:t>
      </w:r>
      <w:r w:rsidRPr="002D6F59">
        <w:rPr>
          <w:rFonts w:ascii="Century Gothic" w:hAnsi="Century Gothic" w:cs="Arial"/>
          <w:i/>
          <w:sz w:val="24"/>
          <w:szCs w:val="24"/>
        </w:rPr>
        <w:t>“Por medio del cual se modifica el artículo 34 de la constitución política, suprimiendo la prohibición de la pena de prisión perpetua”</w:t>
      </w:r>
      <w:r w:rsidRPr="002D6F59">
        <w:rPr>
          <w:rFonts w:ascii="Century Gothic" w:hAnsi="Century Gothic" w:cs="Arial"/>
          <w:sz w:val="24"/>
          <w:szCs w:val="24"/>
        </w:rPr>
        <w:t>: Fue presentado por el H.R Efraín Antonio Torres Monsalvo, el 9 de abril de 2018; fue asignado a la Comisión Primera Constitucional de la Cámara Representantes en la cual se dio trámite a la ponencia para primer debate; el proyecto fue archivado el 21 de junio de 2018.</w:t>
      </w:r>
    </w:p>
    <w:p w14:paraId="1ECA5FE8" w14:textId="77777777" w:rsidR="00793F85" w:rsidRPr="002D6F59" w:rsidRDefault="00793F85" w:rsidP="002D6F59">
      <w:pPr>
        <w:pStyle w:val="Prrafodelista"/>
        <w:spacing w:line="240" w:lineRule="auto"/>
        <w:jc w:val="both"/>
        <w:rPr>
          <w:rFonts w:ascii="Century Gothic" w:hAnsi="Century Gothic" w:cs="Arial"/>
          <w:sz w:val="24"/>
          <w:szCs w:val="24"/>
        </w:rPr>
      </w:pPr>
    </w:p>
    <w:p w14:paraId="7F475D0E" w14:textId="2F150479" w:rsidR="00793F85" w:rsidRPr="002D6F59" w:rsidRDefault="00793F85" w:rsidP="002D6F59">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055 de 2017 Cámara </w:t>
      </w:r>
      <w:r w:rsidRPr="002D6F59">
        <w:rPr>
          <w:rFonts w:ascii="Century Gothic" w:hAnsi="Century Gothic" w:cs="Arial"/>
          <w:i/>
          <w:sz w:val="24"/>
          <w:szCs w:val="24"/>
        </w:rPr>
        <w:t>“Por medio del cual se modifica el artículo 34 de la constitución política, suprimiendo la prohibición de la pena de prisión perpetua”:</w:t>
      </w:r>
      <w:r w:rsidRPr="002D6F59">
        <w:rPr>
          <w:rFonts w:ascii="Century Gothic" w:hAnsi="Century Gothic" w:cs="Arial"/>
          <w:sz w:val="24"/>
          <w:szCs w:val="24"/>
        </w:rPr>
        <w:t xml:space="preserve"> Fue presentado por el H.R Efraín Antonio Torres Monsalvo, el 1 de agosto de 2017; fue asignado a la Comisión Primera Constitucional de la Cámara Representantes en la cual se dio trámite a la ponencia para primer debate; recibido concepto desfavorable por parte del Consejo Superior de Política Criminal fue retirado el 29 de noviembre de 2017.</w:t>
      </w:r>
    </w:p>
    <w:p w14:paraId="6FC9E7FB" w14:textId="77777777" w:rsidR="00793F85" w:rsidRPr="002D6F59" w:rsidRDefault="00793F85" w:rsidP="00B17AB2">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lastRenderedPageBreak/>
        <w:t xml:space="preserve">Proyecto de Acto Legislativo 240 de 2017 Cámara </w:t>
      </w:r>
      <w:r w:rsidRPr="002D6F59">
        <w:rPr>
          <w:rFonts w:ascii="Century Gothic" w:hAnsi="Century Gothic" w:cs="Arial"/>
          <w:i/>
          <w:sz w:val="24"/>
          <w:szCs w:val="24"/>
        </w:rPr>
        <w:t xml:space="preserve">“Por medio del cual se modifica el artículo 34 de la constitución política, suprimiendo la prohibición de la pena de prisión perpetua”: </w:t>
      </w:r>
      <w:r w:rsidRPr="002D6F59">
        <w:rPr>
          <w:rFonts w:ascii="Century Gothic" w:hAnsi="Century Gothic" w:cs="Arial"/>
          <w:sz w:val="24"/>
          <w:szCs w:val="24"/>
        </w:rPr>
        <w:t xml:space="preserve">Fue presentado por los Honorables Representantes Efraín Antonio Torres Monsalvo, Oscar Fernando Bravo Realpe, Wilmer Ramiro Carrillo Mendoza, Jairo Enrique Castiblanco Parra, Carlos Arturo Correa Mojica, Marta Cecilia Curi Osorio, Alexander García Rodríguez, Nery Oros Ortiz, Ana María Rincón Herrera, Eduardo José Tous De La Ossa, Albeiro Vanegas Osorio, Martha Patricia Villalba Hodwalker, Berner León Zambrano Erazo, el 23 de marzo de 2017; fue asignado a la Comisión Primera Constitucional de la Cámara Representantes en la cual se dio trámite a la ponencia para primer debate, sin embargo el proyecto no surtió su segundo debate. </w:t>
      </w:r>
    </w:p>
    <w:p w14:paraId="2FD578CD" w14:textId="77777777" w:rsidR="00793F85" w:rsidRPr="002D6F59" w:rsidRDefault="00793F85" w:rsidP="002D6F59">
      <w:pPr>
        <w:jc w:val="both"/>
        <w:rPr>
          <w:rFonts w:ascii="Century Gothic" w:hAnsi="Century Gothic" w:cs="Arial"/>
        </w:rPr>
      </w:pPr>
    </w:p>
    <w:p w14:paraId="2B882A9D" w14:textId="77777777" w:rsidR="00793F85" w:rsidRPr="002D6F59" w:rsidRDefault="00793F85" w:rsidP="00B17AB2">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204 de 2015 Cámara </w:t>
      </w:r>
      <w:r w:rsidRPr="002D6F59">
        <w:rPr>
          <w:rFonts w:ascii="Century Gothic" w:hAnsi="Century Gothic" w:cs="Arial"/>
          <w:i/>
          <w:sz w:val="24"/>
          <w:szCs w:val="24"/>
        </w:rPr>
        <w:t xml:space="preserve">“Por medio del cual se modifica el artículo 34 de la constitución política, suprimiendo la prohibición de la pena de prisión perpetua”: </w:t>
      </w:r>
      <w:r w:rsidRPr="002D6F59">
        <w:rPr>
          <w:rFonts w:ascii="Century Gothic" w:hAnsi="Century Gothic" w:cs="Arial"/>
          <w:sz w:val="24"/>
          <w:szCs w:val="24"/>
        </w:rPr>
        <w:t>Fue radicado el 19 de febrero de 2015; fue asignado a la Comisión Primera Constitucional de la Cámara Representantes en la cual se dio trámite a la ponencia para primer debate y fue archivado el 22 de junio de 2015.</w:t>
      </w:r>
    </w:p>
    <w:p w14:paraId="21D79038" w14:textId="77777777" w:rsidR="00793F85" w:rsidRPr="002D6F59" w:rsidRDefault="00793F85" w:rsidP="002D6F59">
      <w:pPr>
        <w:pStyle w:val="Prrafodelista"/>
        <w:spacing w:line="240" w:lineRule="auto"/>
        <w:rPr>
          <w:rFonts w:ascii="Century Gothic" w:hAnsi="Century Gothic" w:cs="Arial"/>
          <w:sz w:val="24"/>
          <w:szCs w:val="24"/>
        </w:rPr>
      </w:pPr>
    </w:p>
    <w:p w14:paraId="3E05CFF9" w14:textId="2F7A2347" w:rsidR="00793F85" w:rsidRPr="002D6F59" w:rsidRDefault="00793F85" w:rsidP="00B17AB2">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036 de 2013 Cámara </w:t>
      </w:r>
      <w:r w:rsidRPr="002D6F59">
        <w:rPr>
          <w:rFonts w:ascii="Century Gothic" w:hAnsi="Century Gothic" w:cs="Arial"/>
          <w:i/>
          <w:sz w:val="24"/>
          <w:szCs w:val="24"/>
        </w:rPr>
        <w:t xml:space="preserve">“Por el cual se modifica el artículo 34 de la Constitución Política de Colombia, para permitir la Prisión Perpetua Revisable a partir de los 40 años de prisión exclusivamente cuando la víctima de los delitos de homicidio, acceso carnal violento, secuestro o explotación sexual, sea un menor de 14 años o menor de 18 años con discapacidad y se dictan otras disposiciones. [Prisión perpetua revisable]”: </w:t>
      </w:r>
      <w:r w:rsidRPr="002D6F59">
        <w:rPr>
          <w:rFonts w:ascii="Century Gothic" w:hAnsi="Century Gothic" w:cs="Arial"/>
          <w:sz w:val="24"/>
          <w:szCs w:val="24"/>
        </w:rPr>
        <w:t>Fue radicado el 30 de julio de 2013 por Yahir Fernando Acuña, Albeiro Vanegas Osorio, entre otros y retirado el 13 de noviembre de 2013.</w:t>
      </w:r>
    </w:p>
    <w:p w14:paraId="7BA83441" w14:textId="0039FB0A" w:rsidR="00251E2E" w:rsidRPr="002D6F59" w:rsidRDefault="00251E2E" w:rsidP="002D6F59">
      <w:pPr>
        <w:pStyle w:val="Prrafodelista"/>
        <w:spacing w:after="0" w:line="240" w:lineRule="auto"/>
        <w:ind w:left="0"/>
        <w:jc w:val="both"/>
        <w:rPr>
          <w:rFonts w:ascii="Century Gothic" w:hAnsi="Century Gothic" w:cs="Arial"/>
          <w:sz w:val="24"/>
          <w:szCs w:val="24"/>
        </w:rPr>
      </w:pPr>
    </w:p>
    <w:p w14:paraId="5D76ECB1" w14:textId="448D1159" w:rsidR="00793F85" w:rsidRPr="002D6F59" w:rsidRDefault="00793F85" w:rsidP="00B17AB2">
      <w:pPr>
        <w:pStyle w:val="Ttulo1"/>
        <w:keepNext w:val="0"/>
        <w:keepLines w:val="0"/>
        <w:numPr>
          <w:ilvl w:val="0"/>
          <w:numId w:val="13"/>
        </w:numPr>
        <w:shd w:val="clear" w:color="auto" w:fill="FFFFFF"/>
        <w:spacing w:before="0"/>
        <w:jc w:val="both"/>
        <w:rPr>
          <w:rFonts w:ascii="Century Gothic" w:hAnsi="Century Gothic" w:cs="Arial"/>
          <w:b w:val="0"/>
          <w:color w:val="000000" w:themeColor="text1"/>
          <w:sz w:val="24"/>
          <w:szCs w:val="24"/>
        </w:rPr>
      </w:pPr>
      <w:r w:rsidRPr="002D6F59">
        <w:rPr>
          <w:rFonts w:ascii="Century Gothic" w:hAnsi="Century Gothic" w:cs="Arial"/>
          <w:b w:val="0"/>
          <w:color w:val="000000" w:themeColor="text1"/>
          <w:sz w:val="24"/>
          <w:szCs w:val="24"/>
        </w:rPr>
        <w:t>Proyecto</w:t>
      </w:r>
      <w:r w:rsidRPr="002D6F59">
        <w:rPr>
          <w:rFonts w:ascii="Century Gothic" w:hAnsi="Century Gothic" w:cs="Arial"/>
          <w:b w:val="0"/>
          <w:bCs w:val="0"/>
          <w:color w:val="000000" w:themeColor="text1"/>
          <w:sz w:val="24"/>
          <w:szCs w:val="24"/>
          <w:lang w:eastAsia="es-ES"/>
        </w:rPr>
        <w:t xml:space="preserve"> de Acto Legislativo 163 de 2008 Cámara “Por medio de la cual se modifica el artículo 34 de la Constitución Política, cadena perpetua abusadores niños.”</w:t>
      </w:r>
      <w:r w:rsidRPr="002D6F59">
        <w:rPr>
          <w:rFonts w:ascii="Century Gothic" w:hAnsi="Century Gothic" w:cs="Arial"/>
          <w:b w:val="0"/>
          <w:i/>
          <w:color w:val="000000" w:themeColor="text1"/>
          <w:sz w:val="24"/>
          <w:szCs w:val="24"/>
        </w:rPr>
        <w:t xml:space="preserve">: </w:t>
      </w:r>
      <w:r w:rsidRPr="002D6F59">
        <w:rPr>
          <w:rFonts w:ascii="Century Gothic" w:hAnsi="Century Gothic" w:cs="Arial"/>
          <w:b w:val="0"/>
          <w:color w:val="000000" w:themeColor="text1"/>
          <w:sz w:val="24"/>
          <w:szCs w:val="24"/>
        </w:rPr>
        <w:t>Fue radicado el 01 de octubre de 2008 por German Varón Cotrino, Gloria Stella Díaz Ortiz, entre otros y archivado por vencimiento de términos el 2 de diciembre de 2008.</w:t>
      </w:r>
    </w:p>
    <w:p w14:paraId="4B233650" w14:textId="77777777" w:rsidR="00B23958" w:rsidRPr="002D6F59" w:rsidRDefault="00B23958" w:rsidP="002D6F59">
      <w:pPr>
        <w:rPr>
          <w:rFonts w:ascii="Century Gothic" w:hAnsi="Century Gothic"/>
          <w:lang w:val="es-ES" w:eastAsia="en-US"/>
        </w:rPr>
      </w:pPr>
    </w:p>
    <w:p w14:paraId="36632AAE" w14:textId="77777777" w:rsidR="00793F85" w:rsidRPr="002D6F59" w:rsidRDefault="00793F85" w:rsidP="00B17AB2">
      <w:pPr>
        <w:pStyle w:val="Prrafodelista"/>
        <w:numPr>
          <w:ilvl w:val="0"/>
          <w:numId w:val="13"/>
        </w:numPr>
        <w:spacing w:after="0"/>
        <w:jc w:val="both"/>
        <w:rPr>
          <w:rFonts w:ascii="Century Gothic" w:hAnsi="Century Gothic" w:cs="Arial"/>
          <w:i/>
          <w:sz w:val="24"/>
          <w:szCs w:val="24"/>
        </w:rPr>
      </w:pPr>
      <w:r w:rsidRPr="002D6F59">
        <w:rPr>
          <w:rFonts w:ascii="Century Gothic" w:hAnsi="Century Gothic" w:cs="Arial"/>
          <w:sz w:val="24"/>
          <w:szCs w:val="24"/>
        </w:rPr>
        <w:t xml:space="preserve">Proyecto de Acto Legislativo 18 de 2008 Cámara </w:t>
      </w:r>
      <w:r w:rsidRPr="002D6F59">
        <w:rPr>
          <w:rFonts w:ascii="Century Gothic" w:hAnsi="Century Gothic" w:cs="Arial"/>
          <w:i/>
          <w:sz w:val="24"/>
          <w:szCs w:val="24"/>
        </w:rPr>
        <w:t xml:space="preserve">“Por el cual se modifica el artículo 34 de la Constitución Política. (Prisión para violadores).”: </w:t>
      </w:r>
      <w:r w:rsidRPr="002D6F59">
        <w:rPr>
          <w:rFonts w:ascii="Century Gothic" w:hAnsi="Century Gothic" w:cs="Arial"/>
          <w:sz w:val="24"/>
          <w:szCs w:val="24"/>
        </w:rPr>
        <w:t xml:space="preserve">Fue radicado el 01 de abril de 2008 por Guillermo Antonio Santos, Pedro Nelson </w:t>
      </w:r>
      <w:r w:rsidRPr="002D6F59">
        <w:rPr>
          <w:rFonts w:ascii="Century Gothic" w:hAnsi="Century Gothic" w:cs="Arial"/>
          <w:sz w:val="24"/>
          <w:szCs w:val="24"/>
        </w:rPr>
        <w:lastRenderedPageBreak/>
        <w:t>Parra, entre otros y archivado por vencimiento de términos el 20 de junio de 2008.</w:t>
      </w:r>
    </w:p>
    <w:p w14:paraId="1569174D" w14:textId="77777777" w:rsidR="00793F85" w:rsidRPr="002D6F59" w:rsidRDefault="00793F85" w:rsidP="00B17AB2">
      <w:pPr>
        <w:pStyle w:val="Prrafodelista"/>
        <w:spacing w:after="0"/>
        <w:ind w:left="360"/>
        <w:jc w:val="both"/>
        <w:rPr>
          <w:rFonts w:ascii="Century Gothic" w:hAnsi="Century Gothic" w:cs="Arial"/>
          <w:i/>
          <w:sz w:val="24"/>
          <w:szCs w:val="24"/>
        </w:rPr>
      </w:pPr>
    </w:p>
    <w:p w14:paraId="78008882" w14:textId="2DB3D16B" w:rsidR="00BC121A" w:rsidRPr="002D6F59" w:rsidRDefault="00793F85" w:rsidP="00B17AB2">
      <w:pPr>
        <w:pStyle w:val="Prrafodelista"/>
        <w:numPr>
          <w:ilvl w:val="0"/>
          <w:numId w:val="13"/>
        </w:numPr>
        <w:spacing w:after="0"/>
        <w:jc w:val="both"/>
        <w:rPr>
          <w:rFonts w:ascii="Century Gothic" w:hAnsi="Century Gothic" w:cs="Arial"/>
          <w:i/>
          <w:sz w:val="24"/>
          <w:szCs w:val="24"/>
        </w:rPr>
      </w:pPr>
      <w:r w:rsidRPr="002D6F59">
        <w:rPr>
          <w:rFonts w:ascii="Century Gothic" w:hAnsi="Century Gothic" w:cs="Arial"/>
          <w:sz w:val="24"/>
          <w:szCs w:val="24"/>
        </w:rPr>
        <w:t>Proyecto de Acto Legislativo 23 de 2007 Cámara acumulado con</w:t>
      </w:r>
      <w:r w:rsidRPr="002D6F59">
        <w:rPr>
          <w:rFonts w:ascii="Century Gothic" w:hAnsi="Century Gothic" w:cs="Arial"/>
          <w:i/>
          <w:sz w:val="24"/>
          <w:szCs w:val="24"/>
        </w:rPr>
        <w:t xml:space="preserve"> </w:t>
      </w:r>
      <w:r w:rsidRPr="002D6F59">
        <w:rPr>
          <w:rFonts w:ascii="Century Gothic" w:hAnsi="Century Gothic" w:cs="Arial"/>
          <w:sz w:val="24"/>
          <w:szCs w:val="24"/>
        </w:rPr>
        <w:t>el</w:t>
      </w:r>
      <w:r w:rsidRPr="002D6F59">
        <w:rPr>
          <w:rFonts w:ascii="Century Gothic" w:hAnsi="Century Gothic" w:cs="Arial"/>
          <w:i/>
          <w:sz w:val="24"/>
          <w:szCs w:val="24"/>
        </w:rPr>
        <w:t xml:space="preserve"> </w:t>
      </w:r>
      <w:r w:rsidRPr="002D6F59">
        <w:rPr>
          <w:rFonts w:ascii="Century Gothic" w:hAnsi="Century Gothic" w:cs="Arial"/>
          <w:sz w:val="24"/>
          <w:szCs w:val="24"/>
        </w:rPr>
        <w:t xml:space="preserve">Proyecto de Acto Legislativo 38 de 2007 Cámara </w:t>
      </w:r>
      <w:r w:rsidRPr="002D6F59">
        <w:rPr>
          <w:rFonts w:ascii="Century Gothic" w:hAnsi="Century Gothic" w:cs="Arial"/>
          <w:i/>
          <w:sz w:val="24"/>
          <w:szCs w:val="24"/>
        </w:rPr>
        <w:t xml:space="preserve">“Por medio del cual se modifica el artículo 34 de la Constitución Política”: </w:t>
      </w:r>
      <w:r w:rsidRPr="002D6F59">
        <w:rPr>
          <w:rFonts w:ascii="Century Gothic" w:hAnsi="Century Gothic" w:cs="Arial"/>
          <w:sz w:val="24"/>
          <w:szCs w:val="24"/>
        </w:rPr>
        <w:t>Fue radicado el 20 de julio de 2007 por Guillermo Antonio Santos, Clara Isabel Pinillos, entre otros y retirado el 7 de noviembre de 2007.</w:t>
      </w:r>
    </w:p>
    <w:p w14:paraId="1BA8F7BE" w14:textId="77777777" w:rsidR="00793F85" w:rsidRPr="002D6F59" w:rsidRDefault="00793F85" w:rsidP="00B17AB2">
      <w:pPr>
        <w:pStyle w:val="Prrafodelista"/>
        <w:ind w:left="0"/>
        <w:jc w:val="both"/>
        <w:rPr>
          <w:rFonts w:ascii="Century Gothic" w:hAnsi="Century Gothic" w:cs="Arial"/>
          <w:sz w:val="24"/>
          <w:szCs w:val="24"/>
        </w:rPr>
      </w:pPr>
    </w:p>
    <w:p w14:paraId="0C78134E" w14:textId="382CDE9D" w:rsidR="00BC121A" w:rsidRPr="002D6F59" w:rsidRDefault="00BC121A" w:rsidP="00B17AB2">
      <w:pPr>
        <w:pStyle w:val="Prrafodelista"/>
        <w:numPr>
          <w:ilvl w:val="0"/>
          <w:numId w:val="30"/>
        </w:numPr>
        <w:spacing w:after="240"/>
        <w:jc w:val="center"/>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LAS RAZONES DEL LLAMAMIENTO AL CONGRESO PARA LEGISLAR SOBRE LA MATERIA</w:t>
      </w:r>
    </w:p>
    <w:p w14:paraId="5B5A4CEE" w14:textId="587BE25F" w:rsidR="00814CB0" w:rsidRPr="002D6F59" w:rsidRDefault="00814CB0" w:rsidP="00B17AB2">
      <w:pPr>
        <w:spacing w:line="276" w:lineRule="auto"/>
        <w:jc w:val="both"/>
        <w:rPr>
          <w:rFonts w:ascii="Century Gothic" w:hAnsi="Century Gothic" w:cs="Arial"/>
          <w:lang w:val="es-ES"/>
        </w:rPr>
      </w:pPr>
      <w:r w:rsidRPr="002D6F59">
        <w:rPr>
          <w:rFonts w:ascii="Century Gothic" w:hAnsi="Century Gothic" w:cs="Arial"/>
          <w:lang w:val="es-ES"/>
        </w:rPr>
        <w:t>Ante los hechos que avasallan a la sociedad colombiana de la violencia contra los niños, niñas y adolescentes, que bajo graves conductas crueles e inhumanas han sido raptados para someterlos a todo tipo de vejámenes sexuales y luego asesinarlos son delitos que generan un reacción social, y es quizás en nuestra sociedad de los pocos hechos que no nos llevan a una anomia social que nos ha marcado los esquemas de violencia presentes en nuestra historia y en nuestras generaciones, que ya no nos permite reaccionar ante el daño social que genera la misma violencia.</w:t>
      </w:r>
    </w:p>
    <w:p w14:paraId="23A84B2D" w14:textId="77777777" w:rsidR="00814CB0" w:rsidRPr="002D6F59" w:rsidRDefault="00814CB0" w:rsidP="00B17AB2">
      <w:pPr>
        <w:jc w:val="both"/>
        <w:rPr>
          <w:rFonts w:ascii="Century Gothic" w:hAnsi="Century Gothic" w:cs="Arial"/>
          <w:lang w:val="es-ES"/>
        </w:rPr>
      </w:pPr>
    </w:p>
    <w:p w14:paraId="155554D2" w14:textId="77777777" w:rsidR="00814CB0" w:rsidRPr="002D6F59" w:rsidRDefault="00814CB0" w:rsidP="00B17AB2">
      <w:pPr>
        <w:spacing w:line="276" w:lineRule="auto"/>
        <w:jc w:val="both"/>
        <w:rPr>
          <w:rFonts w:ascii="Century Gothic" w:hAnsi="Century Gothic" w:cs="Arial"/>
          <w:lang w:val="es-ES"/>
        </w:rPr>
      </w:pPr>
      <w:r w:rsidRPr="002D6F59">
        <w:rPr>
          <w:rFonts w:ascii="Century Gothic" w:hAnsi="Century Gothic" w:cs="Arial"/>
          <w:lang w:val="es-ES"/>
        </w:rPr>
        <w:t xml:space="preserve">Esta reacción social de rechazo a este tipo de crímenes y su acuerdo frente a la imposición de la cadena perpetua se ha banalizado al considerarse populismo punitivo y considerar que este tipo de iniciativas sólo buscan generar un favor de la opinión hacia el gobierno o los parlamentarios que la apoyan, banalización que irrumpe el cauce normal de la democracia, en cuanto es a través de los partidos políticos con representación política, que se da respuesta a las demandas ciudadanas. </w:t>
      </w:r>
    </w:p>
    <w:p w14:paraId="62AB161B" w14:textId="77777777" w:rsidR="00814CB0" w:rsidRPr="002D6F59" w:rsidRDefault="00814CB0" w:rsidP="00B17AB2">
      <w:pPr>
        <w:jc w:val="both"/>
        <w:rPr>
          <w:rFonts w:ascii="Century Gothic" w:hAnsi="Century Gothic" w:cs="Arial"/>
          <w:lang w:val="es-ES"/>
        </w:rPr>
      </w:pPr>
    </w:p>
    <w:p w14:paraId="05A3BBFB" w14:textId="7E5DDD33" w:rsidR="00814CB0" w:rsidRPr="002D6F59" w:rsidRDefault="00814CB0" w:rsidP="00B17AB2">
      <w:pPr>
        <w:spacing w:line="276" w:lineRule="auto"/>
        <w:jc w:val="both"/>
        <w:rPr>
          <w:rFonts w:ascii="Century Gothic" w:hAnsi="Century Gothic" w:cs="Arial"/>
        </w:rPr>
      </w:pPr>
      <w:r w:rsidRPr="002D6F59">
        <w:rPr>
          <w:rFonts w:ascii="Century Gothic" w:hAnsi="Century Gothic" w:cs="Arial"/>
          <w:lang w:val="es-ES"/>
        </w:rPr>
        <w:t>Sin embargo</w:t>
      </w:r>
      <w:r w:rsidR="00D13A89" w:rsidRPr="002D6F59">
        <w:rPr>
          <w:rFonts w:ascii="Century Gothic" w:hAnsi="Century Gothic" w:cs="Arial"/>
          <w:lang w:val="es-ES"/>
        </w:rPr>
        <w:t>,</w:t>
      </w:r>
      <w:r w:rsidRPr="002D6F59">
        <w:rPr>
          <w:rFonts w:ascii="Century Gothic" w:hAnsi="Century Gothic" w:cs="Arial"/>
          <w:lang w:val="es-ES"/>
        </w:rPr>
        <w:t xml:space="preserve"> teniendo como parámetro el que el proyecto de acto legislativo busca modificar el artículo 34 de la Constitución Nacional que establece en su inciso primero: </w:t>
      </w:r>
      <w:r w:rsidRPr="002D6F59">
        <w:rPr>
          <w:rFonts w:ascii="Century Gothic" w:hAnsi="Century Gothic" w:cs="Arial"/>
          <w:i/>
          <w:lang w:val="es-ES"/>
        </w:rPr>
        <w:t>“</w:t>
      </w:r>
      <w:r w:rsidRPr="002D6F59">
        <w:rPr>
          <w:rFonts w:ascii="Century Gothic" w:hAnsi="Century Gothic" w:cs="Arial"/>
          <w:i/>
        </w:rPr>
        <w:t xml:space="preserve">Se prohíben las penas de destierro, </w:t>
      </w:r>
      <w:r w:rsidR="00D13A89" w:rsidRPr="002D6F59">
        <w:rPr>
          <w:rFonts w:ascii="Century Gothic" w:hAnsi="Century Gothic" w:cs="Arial"/>
          <w:i/>
        </w:rPr>
        <w:t>prisión perpetua y confiscación</w:t>
      </w:r>
      <w:r w:rsidRPr="002D6F59">
        <w:rPr>
          <w:rFonts w:ascii="Century Gothic" w:hAnsi="Century Gothic" w:cs="Arial"/>
          <w:i/>
        </w:rPr>
        <w:t>”</w:t>
      </w:r>
      <w:r w:rsidRPr="002D6F59">
        <w:rPr>
          <w:rFonts w:ascii="Century Gothic" w:hAnsi="Century Gothic" w:cs="Arial"/>
        </w:rPr>
        <w:t xml:space="preserve">, que consagra como principio la prohibición de la prisión perpetua, ello implica afectación de derechos fundamentales, por lo cual no es suficiente el querer de las mayorías para considerar acorde al Estado de derecho la modificación propuesta, pues ello implicaría una visión utilitarista al considerar como mejor opción la que más contribuye el bienestar general o satisface mayor cantidad de intereses, en caso de dudas sobre la mejor </w:t>
      </w:r>
      <w:r w:rsidRPr="002D6F59">
        <w:rPr>
          <w:rFonts w:ascii="Century Gothic" w:hAnsi="Century Gothic" w:cs="Arial"/>
        </w:rPr>
        <w:lastRenderedPageBreak/>
        <w:t xml:space="preserve">política a adoptar, pero que implica sacrificar a unas partes de la sociedad en virtud de las restantes. </w:t>
      </w:r>
    </w:p>
    <w:p w14:paraId="637494A0" w14:textId="77777777" w:rsidR="002442EA" w:rsidRPr="002D6F59" w:rsidRDefault="002442EA" w:rsidP="002D6F59">
      <w:pPr>
        <w:jc w:val="both"/>
        <w:rPr>
          <w:rFonts w:ascii="Century Gothic" w:hAnsi="Century Gothic" w:cs="Arial"/>
        </w:rPr>
      </w:pPr>
    </w:p>
    <w:p w14:paraId="756F4ECB" w14:textId="4142309D" w:rsidR="00814CB0" w:rsidRPr="002D6F59" w:rsidRDefault="00814CB0" w:rsidP="00B17AB2">
      <w:pPr>
        <w:spacing w:line="276" w:lineRule="auto"/>
        <w:jc w:val="both"/>
        <w:rPr>
          <w:rFonts w:ascii="Century Gothic" w:hAnsi="Century Gothic" w:cs="Arial"/>
        </w:rPr>
      </w:pPr>
      <w:r w:rsidRPr="002D6F59">
        <w:rPr>
          <w:rFonts w:ascii="Century Gothic" w:hAnsi="Century Gothic" w:cs="Arial"/>
        </w:rPr>
        <w:t>Por ello este proyecto requiere de un legislador prudente y razonado frente a los argumentos que se enfrentan y en esta ponencia se hace necesario examinarlos para generar un debate acertado en un tema tan sensible y de alta transce</w:t>
      </w:r>
      <w:r w:rsidR="002442EA" w:rsidRPr="002D6F59">
        <w:rPr>
          <w:rFonts w:ascii="Century Gothic" w:hAnsi="Century Gothic" w:cs="Arial"/>
        </w:rPr>
        <w:t>ndencia jurídica constitucional, que permita exponer un razonamiento sustentado del llamamiento al Congreso para legislar sobre esta materia.</w:t>
      </w:r>
    </w:p>
    <w:p w14:paraId="306C0234" w14:textId="2BEA347D" w:rsidR="00D13A89" w:rsidRPr="002D6F59" w:rsidRDefault="00D13A89" w:rsidP="002D6F59">
      <w:pPr>
        <w:rPr>
          <w:rFonts w:ascii="Century Gothic" w:hAnsi="Century Gothic" w:cs="Arial"/>
        </w:rPr>
      </w:pPr>
    </w:p>
    <w:p w14:paraId="0D32602A" w14:textId="52EC73A1" w:rsidR="00BC121A" w:rsidRPr="002D6F59" w:rsidRDefault="00BC121A" w:rsidP="00B17AB2">
      <w:pPr>
        <w:pStyle w:val="Prrafodelista"/>
        <w:numPr>
          <w:ilvl w:val="0"/>
          <w:numId w:val="46"/>
        </w:numPr>
        <w:rPr>
          <w:rFonts w:ascii="Century Gothic" w:hAnsi="Century Gothic" w:cs="Arial"/>
          <w:b/>
        </w:rPr>
      </w:pPr>
      <w:r w:rsidRPr="002D6F59">
        <w:rPr>
          <w:rFonts w:ascii="Century Gothic" w:hAnsi="Century Gothic" w:cs="Arial"/>
          <w:b/>
        </w:rPr>
        <w:t>LA CADENA PERPETUA EN LA LEGISLACIÓN COMPARADA</w:t>
      </w:r>
      <w:r w:rsidR="00D13A89" w:rsidRPr="002D6F59">
        <w:rPr>
          <w:rFonts w:ascii="Century Gothic" w:hAnsi="Century Gothic" w:cs="Arial"/>
          <w:b/>
        </w:rPr>
        <w:t>.</w:t>
      </w:r>
    </w:p>
    <w:p w14:paraId="541CC79F" w14:textId="77777777" w:rsidR="00251E2E" w:rsidRPr="002D6F59" w:rsidRDefault="00251E2E" w:rsidP="005627A0">
      <w:pPr>
        <w:pStyle w:val="Prrafodelista"/>
        <w:spacing w:after="0" w:line="240" w:lineRule="auto"/>
        <w:ind w:left="0"/>
        <w:rPr>
          <w:rFonts w:ascii="Century Gothic" w:hAnsi="Century Gothic" w:cs="Arial"/>
          <w:b/>
        </w:rPr>
      </w:pPr>
    </w:p>
    <w:p w14:paraId="609FD451" w14:textId="0CC995B5"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Si se revisa la legislación comparada, puede observarse que la cadena perpetua se encuentra inmersa en los ordenamientos jurídicos de varios paíse</w:t>
      </w:r>
      <w:r w:rsidR="00D13A89" w:rsidRPr="002D6F59">
        <w:rPr>
          <w:rFonts w:ascii="Century Gothic" w:hAnsi="Century Gothic" w:cs="Arial"/>
        </w:rPr>
        <w:t xml:space="preserve">s. En efecto, muchos estados </w:t>
      </w:r>
      <w:r w:rsidRPr="002D6F59">
        <w:rPr>
          <w:rFonts w:ascii="Century Gothic" w:hAnsi="Century Gothic" w:cs="Arial"/>
        </w:rPr>
        <w:t>considera</w:t>
      </w:r>
      <w:r w:rsidR="00D13A89" w:rsidRPr="002D6F59">
        <w:rPr>
          <w:rFonts w:ascii="Century Gothic" w:hAnsi="Century Gothic" w:cs="Arial"/>
        </w:rPr>
        <w:t>n</w:t>
      </w:r>
      <w:r w:rsidRPr="002D6F59">
        <w:rPr>
          <w:rFonts w:ascii="Century Gothic" w:hAnsi="Century Gothic" w:cs="Arial"/>
        </w:rPr>
        <w:t xml:space="preserve"> que para proteger los bienes jurídicos de sus asociados, resulta necesario imponer penas que restrinjan de manera permanente y excepcional la libertad de los agresores, cuando se trata de delitos que afectan gravemente a los niños, niñas y adolescentes, así como de otras conductas, que según</w:t>
      </w:r>
      <w:r w:rsidR="007C3816" w:rsidRPr="002D6F59">
        <w:rPr>
          <w:rFonts w:ascii="Century Gothic" w:hAnsi="Century Gothic" w:cs="Arial"/>
        </w:rPr>
        <w:t xml:space="preserve"> la realidad jurídico política y</w:t>
      </w:r>
      <w:r w:rsidRPr="002D6F59">
        <w:rPr>
          <w:rFonts w:ascii="Century Gothic" w:hAnsi="Century Gothic" w:cs="Arial"/>
        </w:rPr>
        <w:t xml:space="preserve"> social de cada país, han entendido debe ser protegidos con la máxima pena posible en cuanto a privación de la libertad. No es de extrañar que muchos de estas naciones, que incluyen la cadena perpetua como una posibilidad, son aquellas que son reconocidas </w:t>
      </w:r>
      <w:r w:rsidR="007C3816" w:rsidRPr="002D6F59">
        <w:rPr>
          <w:rFonts w:ascii="Century Gothic" w:hAnsi="Century Gothic" w:cs="Arial"/>
        </w:rPr>
        <w:t>por tener</w:t>
      </w:r>
      <w:r w:rsidRPr="002D6F59">
        <w:rPr>
          <w:rFonts w:ascii="Century Gothic" w:hAnsi="Century Gothic" w:cs="Arial"/>
        </w:rPr>
        <w:t xml:space="preserve"> los más altos estándares de protección de los derechos fundamentales, ya que la protección de dichos derechos no sólo se predica de quien recibe el </w:t>
      </w:r>
      <w:r w:rsidRPr="002D6F59">
        <w:rPr>
          <w:rFonts w:ascii="Century Gothic" w:hAnsi="Century Gothic" w:cs="Arial"/>
          <w:i/>
        </w:rPr>
        <w:t>ius puniendi</w:t>
      </w:r>
      <w:r w:rsidRPr="002D6F59">
        <w:rPr>
          <w:rFonts w:ascii="Century Gothic" w:hAnsi="Century Gothic" w:cs="Arial"/>
        </w:rPr>
        <w:t xml:space="preserve"> del estado, sino también de la sociedad y en especial de los menores.</w:t>
      </w:r>
    </w:p>
    <w:p w14:paraId="6EA115F1" w14:textId="77777777" w:rsidR="00BC121A" w:rsidRPr="002D6F59" w:rsidRDefault="00BC121A" w:rsidP="005627A0">
      <w:pPr>
        <w:jc w:val="both"/>
        <w:rPr>
          <w:rFonts w:ascii="Century Gothic" w:hAnsi="Century Gothic" w:cs="Arial"/>
        </w:rPr>
      </w:pPr>
    </w:p>
    <w:p w14:paraId="34D3BBAF" w14:textId="2C80F73A"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Entre los países que cuentan con la cadena perpetua está el Inglaterra, en donde por regla general esta sanción es reversible y revisable. Sin embargo, en casos excepcionales, según la gravedad del delito y la reincidencia del autor, puede que la condena no tenga la posibilidad de ser reversible y elimina la posibilidad de libertad condicional. En este país, la cadena perpetua se aplica casos de homicidios múltiples, abusos sexuales, secuestro, premeditación o terrorismo. </w:t>
      </w:r>
    </w:p>
    <w:p w14:paraId="39D3E93D" w14:textId="77777777" w:rsidR="00BC121A" w:rsidRPr="002D6F59" w:rsidRDefault="00BC121A" w:rsidP="005627A0">
      <w:pPr>
        <w:jc w:val="both"/>
        <w:rPr>
          <w:rFonts w:ascii="Century Gothic" w:hAnsi="Century Gothic" w:cs="Arial"/>
        </w:rPr>
      </w:pPr>
    </w:p>
    <w:p w14:paraId="65BDB8D6" w14:textId="653B6158" w:rsidR="00BC121A" w:rsidRPr="002D6F59" w:rsidRDefault="007C3816" w:rsidP="00B17AB2">
      <w:pPr>
        <w:spacing w:line="276" w:lineRule="auto"/>
        <w:jc w:val="both"/>
        <w:rPr>
          <w:rFonts w:ascii="Century Gothic" w:hAnsi="Century Gothic" w:cs="Arial"/>
        </w:rPr>
      </w:pPr>
      <w:r w:rsidRPr="002D6F59">
        <w:rPr>
          <w:rFonts w:ascii="Century Gothic" w:hAnsi="Century Gothic" w:cs="Arial"/>
        </w:rPr>
        <w:t>Igualmente, E</w:t>
      </w:r>
      <w:r w:rsidR="00BC121A" w:rsidRPr="002D6F59">
        <w:rPr>
          <w:rFonts w:ascii="Century Gothic" w:hAnsi="Century Gothic" w:cs="Arial"/>
        </w:rPr>
        <w:t>stados Unidos, dependiendo del estado, cuenta con la posibilidad de imponer una cadena perpetua. En general, puede decirse que existen dos tipos de ca</w:t>
      </w:r>
      <w:r w:rsidR="002442EA" w:rsidRPr="002D6F59">
        <w:rPr>
          <w:rFonts w:ascii="Century Gothic" w:hAnsi="Century Gothic" w:cs="Arial"/>
        </w:rPr>
        <w:t xml:space="preserve">dena perpetua: en primer lugar, </w:t>
      </w:r>
      <w:r w:rsidR="00BC121A" w:rsidRPr="002D6F59">
        <w:rPr>
          <w:rFonts w:ascii="Century Gothic" w:hAnsi="Century Gothic" w:cs="Arial"/>
        </w:rPr>
        <w:t xml:space="preserve">está aquella que es revisable y en la que según circunstancias especiales, la persona que ha sido </w:t>
      </w:r>
      <w:r w:rsidR="00BC121A" w:rsidRPr="002D6F59">
        <w:rPr>
          <w:rFonts w:ascii="Century Gothic" w:hAnsi="Century Gothic" w:cs="Arial"/>
        </w:rPr>
        <w:lastRenderedPageBreak/>
        <w:t xml:space="preserve">declarada culpable, puede acceder a la libertad condicional, después de permanecer el tiempo que fije el juez en prisión. En segundo lugar, encontramos la cadena perpetua que no puede ser revisada y que, por lo tanto, implica que la persona </w:t>
      </w:r>
      <w:r w:rsidRPr="002D6F59">
        <w:rPr>
          <w:rFonts w:ascii="Century Gothic" w:hAnsi="Century Gothic" w:cs="Arial"/>
        </w:rPr>
        <w:t xml:space="preserve">en </w:t>
      </w:r>
      <w:r w:rsidR="00BC121A" w:rsidRPr="002D6F59">
        <w:rPr>
          <w:rFonts w:ascii="Century Gothic" w:hAnsi="Century Gothic" w:cs="Arial"/>
        </w:rPr>
        <w:t>efecto permanecerá presa el resto de su vida.</w:t>
      </w:r>
    </w:p>
    <w:p w14:paraId="3A68D38B" w14:textId="7777777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Alemania, por su parte, contempla una cadena perpetua revisable que, según la gravedad del delito, tal solicitud de revisión se puede hacer solamente después de 15 años.</w:t>
      </w:r>
    </w:p>
    <w:p w14:paraId="62884141" w14:textId="77777777" w:rsidR="00BC121A" w:rsidRPr="002D6F59" w:rsidRDefault="00BC121A" w:rsidP="00B17AB2">
      <w:pPr>
        <w:jc w:val="both"/>
        <w:rPr>
          <w:rFonts w:ascii="Century Gothic" w:hAnsi="Century Gothic" w:cs="Arial"/>
        </w:rPr>
      </w:pPr>
    </w:p>
    <w:p w14:paraId="415330B3" w14:textId="2B842F8E" w:rsidR="00BC121A" w:rsidRDefault="00BC121A" w:rsidP="00B17AB2">
      <w:pPr>
        <w:spacing w:line="276" w:lineRule="auto"/>
        <w:jc w:val="both"/>
        <w:rPr>
          <w:rFonts w:ascii="Century Gothic" w:hAnsi="Century Gothic" w:cs="Arial"/>
        </w:rPr>
      </w:pPr>
      <w:r w:rsidRPr="002D6F59">
        <w:rPr>
          <w:rFonts w:ascii="Century Gothic" w:hAnsi="Century Gothic" w:cs="Arial"/>
        </w:rPr>
        <w:t>Francia</w:t>
      </w:r>
      <w:r w:rsidR="007C3816" w:rsidRPr="002D6F59">
        <w:rPr>
          <w:rFonts w:ascii="Century Gothic" w:hAnsi="Century Gothic" w:cs="Arial"/>
        </w:rPr>
        <w:t>, consagra la cadena perpetua, e</w:t>
      </w:r>
      <w:r w:rsidRPr="002D6F59">
        <w:rPr>
          <w:rFonts w:ascii="Century Gothic" w:hAnsi="Century Gothic" w:cs="Arial"/>
        </w:rPr>
        <w:t>specialmente cuando se trata de delitos relacionados con el homicidio de menores de edad precedido de violencia sexual. También se ha ampliado para casos de terrorismo y homicidio de un servidor público.</w:t>
      </w:r>
    </w:p>
    <w:p w14:paraId="09212957" w14:textId="77777777" w:rsidR="002D6F59" w:rsidRPr="002D6F59" w:rsidRDefault="002D6F59" w:rsidP="002D6F59">
      <w:pPr>
        <w:jc w:val="both"/>
        <w:rPr>
          <w:rFonts w:ascii="Century Gothic" w:hAnsi="Century Gothic" w:cs="Arial"/>
        </w:rPr>
      </w:pPr>
    </w:p>
    <w:p w14:paraId="2F801FF1" w14:textId="2261F7CD"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Bélgica, del mismo modo, contempla la cadena perpetua que puede ser revisable sólo después de 15 </w:t>
      </w:r>
      <w:r w:rsidR="002442EA" w:rsidRPr="002D6F59">
        <w:rPr>
          <w:rFonts w:ascii="Century Gothic" w:hAnsi="Century Gothic" w:cs="Arial"/>
        </w:rPr>
        <w:t>años y, en</w:t>
      </w:r>
      <w:r w:rsidRPr="002D6F59">
        <w:rPr>
          <w:rFonts w:ascii="Century Gothic" w:hAnsi="Century Gothic" w:cs="Arial"/>
        </w:rPr>
        <w:t xml:space="preserve"> los casos de mayor gravedad, sólo después de 23 años.</w:t>
      </w:r>
    </w:p>
    <w:p w14:paraId="61561D04" w14:textId="77777777" w:rsidR="00BC121A" w:rsidRPr="002D6F59" w:rsidRDefault="00BC121A" w:rsidP="002D6F59">
      <w:pPr>
        <w:jc w:val="both"/>
        <w:rPr>
          <w:rFonts w:ascii="Century Gothic" w:hAnsi="Century Gothic" w:cs="Arial"/>
        </w:rPr>
      </w:pPr>
    </w:p>
    <w:p w14:paraId="3FA412B2" w14:textId="7777777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Algo similar sucede en Holanda, donde existe una cadena perpetua revisable sólo después de 27 años de prisión efectiva.</w:t>
      </w:r>
    </w:p>
    <w:p w14:paraId="146E1441" w14:textId="77777777" w:rsidR="00BC121A" w:rsidRPr="002D6F59" w:rsidRDefault="00BC121A" w:rsidP="002D6F59">
      <w:pPr>
        <w:jc w:val="both"/>
        <w:rPr>
          <w:rFonts w:ascii="Century Gothic" w:hAnsi="Century Gothic" w:cs="Arial"/>
        </w:rPr>
      </w:pPr>
    </w:p>
    <w:p w14:paraId="5E0BB011" w14:textId="469F8592"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También está el</w:t>
      </w:r>
      <w:r w:rsidR="007C3816" w:rsidRPr="002D6F59">
        <w:rPr>
          <w:rFonts w:ascii="Century Gothic" w:hAnsi="Century Gothic" w:cs="Arial"/>
        </w:rPr>
        <w:t xml:space="preserve"> caso de Dinamarca y Noruega, </w:t>
      </w:r>
      <w:r w:rsidRPr="002D6F59">
        <w:rPr>
          <w:rFonts w:ascii="Century Gothic" w:hAnsi="Century Gothic" w:cs="Arial"/>
        </w:rPr>
        <w:t>naciones que tienen una cadena perpetua revisable, que se apli</w:t>
      </w:r>
      <w:r w:rsidR="007C3816" w:rsidRPr="002D6F59">
        <w:rPr>
          <w:rFonts w:ascii="Century Gothic" w:hAnsi="Century Gothic" w:cs="Arial"/>
        </w:rPr>
        <w:t>ca para los delitos más graves y</w:t>
      </w:r>
      <w:r w:rsidRPr="002D6F59">
        <w:rPr>
          <w:rFonts w:ascii="Century Gothic" w:hAnsi="Century Gothic" w:cs="Arial"/>
        </w:rPr>
        <w:t xml:space="preserve"> cuando exista posibilidad reincidencia.</w:t>
      </w:r>
    </w:p>
    <w:p w14:paraId="016E6DB2" w14:textId="77777777" w:rsidR="00BC121A" w:rsidRPr="002D6F59" w:rsidRDefault="00BC121A" w:rsidP="00B17AB2">
      <w:pPr>
        <w:jc w:val="both"/>
        <w:rPr>
          <w:rFonts w:ascii="Century Gothic" w:hAnsi="Century Gothic" w:cs="Arial"/>
        </w:rPr>
      </w:pPr>
    </w:p>
    <w:p w14:paraId="04730043" w14:textId="0F8E22CC"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En Suramérica, tenemos los casos </w:t>
      </w:r>
      <w:r w:rsidR="002442EA" w:rsidRPr="002D6F59">
        <w:rPr>
          <w:rFonts w:ascii="Century Gothic" w:hAnsi="Century Gothic" w:cs="Arial"/>
        </w:rPr>
        <w:t>de Perú</w:t>
      </w:r>
      <w:r w:rsidRPr="002D6F59">
        <w:rPr>
          <w:rFonts w:ascii="Century Gothic" w:hAnsi="Century Gothic" w:cs="Arial"/>
        </w:rPr>
        <w:t>, Chile, y Argentina, que</w:t>
      </w:r>
      <w:r w:rsidR="007C3816" w:rsidRPr="002D6F59">
        <w:rPr>
          <w:rFonts w:ascii="Century Gothic" w:hAnsi="Century Gothic" w:cs="Arial"/>
        </w:rPr>
        <w:t xml:space="preserve"> consagran la cadena perpetua, e</w:t>
      </w:r>
      <w:r w:rsidRPr="002D6F59">
        <w:rPr>
          <w:rFonts w:ascii="Century Gothic" w:hAnsi="Century Gothic" w:cs="Arial"/>
        </w:rPr>
        <w:t>n la mayoría de los casos revisable, y aplicable a los casos más graves.</w:t>
      </w:r>
    </w:p>
    <w:p w14:paraId="4ADDBF77" w14:textId="77777777" w:rsidR="00BC121A" w:rsidRPr="002D6F59" w:rsidRDefault="00BC121A" w:rsidP="00B17AB2">
      <w:pPr>
        <w:jc w:val="both"/>
        <w:rPr>
          <w:rFonts w:ascii="Century Gothic" w:hAnsi="Century Gothic" w:cs="Arial"/>
        </w:rPr>
      </w:pPr>
    </w:p>
    <w:p w14:paraId="38071540" w14:textId="6942155F"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Por otro lado, no e</w:t>
      </w:r>
      <w:r w:rsidR="007C3816" w:rsidRPr="002D6F59">
        <w:rPr>
          <w:rFonts w:ascii="Century Gothic" w:hAnsi="Century Gothic" w:cs="Arial"/>
        </w:rPr>
        <w:t>s del todo cierto que no existe en</w:t>
      </w:r>
      <w:r w:rsidRPr="002D6F59">
        <w:rPr>
          <w:rFonts w:ascii="Century Gothic" w:hAnsi="Century Gothic" w:cs="Arial"/>
        </w:rPr>
        <w:t xml:space="preserve"> Colombia la cadena perpetua, ya que el Estatuto de la Corte Penal Internacional, la cual tiene jurisdicción residual sobre Colombia, tiene dentro de sus penas la cadena perpetua, así que, por lo menos indirectamente este tipo de sanciones son aplicables:</w:t>
      </w:r>
    </w:p>
    <w:p w14:paraId="02C70AC0" w14:textId="77777777" w:rsidR="00BC121A" w:rsidRPr="002D6F59" w:rsidRDefault="00BC121A" w:rsidP="00B17AB2">
      <w:pPr>
        <w:spacing w:line="276" w:lineRule="auto"/>
        <w:jc w:val="both"/>
        <w:rPr>
          <w:rFonts w:ascii="Century Gothic" w:hAnsi="Century Gothic" w:cs="Arial"/>
        </w:rPr>
      </w:pPr>
    </w:p>
    <w:p w14:paraId="28F41AB4" w14:textId="77777777" w:rsidR="00BC121A" w:rsidRPr="002D6F59" w:rsidRDefault="00BC121A" w:rsidP="00B17AB2">
      <w:pPr>
        <w:spacing w:line="276" w:lineRule="auto"/>
        <w:ind w:left="851" w:right="616" w:hanging="284"/>
        <w:jc w:val="both"/>
        <w:rPr>
          <w:rFonts w:ascii="Century Gothic" w:hAnsi="Century Gothic" w:cs="Arial"/>
          <w:b/>
          <w:i/>
          <w:sz w:val="20"/>
          <w:szCs w:val="20"/>
        </w:rPr>
      </w:pPr>
      <w:r w:rsidRPr="002D6F59">
        <w:rPr>
          <w:rFonts w:ascii="Century Gothic" w:hAnsi="Century Gothic" w:cs="Arial"/>
          <w:b/>
          <w:bCs/>
          <w:i/>
          <w:sz w:val="20"/>
          <w:szCs w:val="20"/>
        </w:rPr>
        <w:t>ARTÍCULO 77: PENAS APLICABLES:</w:t>
      </w:r>
    </w:p>
    <w:p w14:paraId="37B132A7" w14:textId="77777777" w:rsidR="00BC121A" w:rsidRPr="002D6F59" w:rsidRDefault="00BC121A" w:rsidP="00B17AB2">
      <w:pPr>
        <w:spacing w:line="276" w:lineRule="auto"/>
        <w:ind w:left="851" w:right="616" w:hanging="284"/>
        <w:jc w:val="both"/>
        <w:rPr>
          <w:rFonts w:ascii="Century Gothic" w:hAnsi="Century Gothic" w:cs="Arial"/>
          <w:i/>
          <w:sz w:val="20"/>
          <w:szCs w:val="20"/>
        </w:rPr>
      </w:pPr>
    </w:p>
    <w:p w14:paraId="6D615A9C" w14:textId="01752826" w:rsidR="00BC121A" w:rsidRPr="002D6F59" w:rsidRDefault="00BC121A" w:rsidP="002D6F59">
      <w:pPr>
        <w:pStyle w:val="Prrafodelista"/>
        <w:numPr>
          <w:ilvl w:val="0"/>
          <w:numId w:val="41"/>
        </w:numPr>
        <w:spacing w:after="0"/>
        <w:ind w:left="851" w:right="616" w:hanging="284"/>
        <w:jc w:val="both"/>
        <w:rPr>
          <w:rFonts w:ascii="Century Gothic" w:hAnsi="Century Gothic" w:cs="Arial"/>
          <w:i/>
          <w:sz w:val="20"/>
          <w:szCs w:val="20"/>
        </w:rPr>
      </w:pPr>
      <w:r w:rsidRPr="002D6F59">
        <w:rPr>
          <w:rFonts w:ascii="Century Gothic" w:hAnsi="Century Gothic" w:cs="Arial"/>
          <w:i/>
          <w:sz w:val="20"/>
          <w:szCs w:val="20"/>
        </w:rPr>
        <w:t>La Corte podrá, con sujeción a lo dispuesto en el artículo 110, imponer a la persona declarada culpable de uno de los crímenes a que se hace referencia en el artículo 5 del presente Estatuto una de las penas siguientes: </w:t>
      </w:r>
    </w:p>
    <w:p w14:paraId="4ADDF7E6" w14:textId="77777777" w:rsidR="00BC121A" w:rsidRPr="002D6F59" w:rsidRDefault="00BC121A" w:rsidP="00B17AB2">
      <w:pPr>
        <w:pStyle w:val="Prrafodelista"/>
        <w:numPr>
          <w:ilvl w:val="0"/>
          <w:numId w:val="42"/>
        </w:numPr>
        <w:spacing w:after="0"/>
        <w:ind w:left="851" w:right="616" w:hanging="284"/>
        <w:jc w:val="both"/>
        <w:rPr>
          <w:rFonts w:ascii="Century Gothic" w:hAnsi="Century Gothic" w:cs="Arial"/>
          <w:i/>
          <w:sz w:val="20"/>
          <w:szCs w:val="20"/>
        </w:rPr>
      </w:pPr>
      <w:r w:rsidRPr="002D6F59">
        <w:rPr>
          <w:rFonts w:ascii="Century Gothic" w:hAnsi="Century Gothic" w:cs="Arial"/>
          <w:i/>
          <w:sz w:val="20"/>
          <w:szCs w:val="20"/>
        </w:rPr>
        <w:lastRenderedPageBreak/>
        <w:t>La reclusión por un número determinado de años que no exceda de 30 años; o </w:t>
      </w:r>
    </w:p>
    <w:p w14:paraId="407C1BAE" w14:textId="77777777" w:rsidR="00BC121A" w:rsidRPr="002D6F59" w:rsidRDefault="00BC121A" w:rsidP="002D6F59">
      <w:pPr>
        <w:pStyle w:val="Prrafodelista"/>
        <w:spacing w:after="0" w:line="240" w:lineRule="auto"/>
        <w:ind w:left="284" w:hanging="284"/>
        <w:jc w:val="both"/>
        <w:rPr>
          <w:rFonts w:ascii="Century Gothic" w:hAnsi="Century Gothic" w:cs="Arial"/>
          <w:i/>
          <w:sz w:val="20"/>
          <w:szCs w:val="20"/>
        </w:rPr>
      </w:pPr>
    </w:p>
    <w:p w14:paraId="743EB5FA" w14:textId="77777777" w:rsidR="00BC121A" w:rsidRPr="002D6F59" w:rsidRDefault="00BC121A" w:rsidP="00B17AB2">
      <w:pPr>
        <w:pStyle w:val="Prrafodelista"/>
        <w:numPr>
          <w:ilvl w:val="0"/>
          <w:numId w:val="42"/>
        </w:numPr>
        <w:spacing w:after="0"/>
        <w:ind w:left="851" w:right="616" w:hanging="284"/>
        <w:jc w:val="both"/>
        <w:rPr>
          <w:rFonts w:ascii="Century Gothic" w:hAnsi="Century Gothic" w:cs="Arial"/>
          <w:i/>
          <w:sz w:val="20"/>
          <w:szCs w:val="20"/>
        </w:rPr>
      </w:pPr>
      <w:r w:rsidRPr="002D6F59">
        <w:rPr>
          <w:rFonts w:ascii="Century Gothic" w:hAnsi="Century Gothic" w:cs="Arial"/>
          <w:i/>
          <w:sz w:val="20"/>
          <w:szCs w:val="20"/>
        </w:rPr>
        <w:t>La reclusión a perpetuidad cuando lo justifiquen la extrema gravedad del crimen y las circunstancias personales del condenado. </w:t>
      </w:r>
    </w:p>
    <w:p w14:paraId="24D83ADF" w14:textId="77777777" w:rsidR="00BC121A" w:rsidRPr="002D6F59" w:rsidRDefault="00BC121A" w:rsidP="002D6F59">
      <w:pPr>
        <w:jc w:val="both"/>
        <w:rPr>
          <w:rFonts w:ascii="Century Gothic" w:hAnsi="Century Gothic" w:cs="Arial"/>
        </w:rPr>
      </w:pPr>
    </w:p>
    <w:p w14:paraId="5AB75550" w14:textId="3B886A33"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Cómo puede</w:t>
      </w:r>
      <w:r w:rsidR="007C3816" w:rsidRPr="002D6F59">
        <w:rPr>
          <w:rFonts w:ascii="Century Gothic" w:hAnsi="Century Gothic" w:cs="Arial"/>
        </w:rPr>
        <w:t xml:space="preserve"> observarse, en muchos países, c</w:t>
      </w:r>
      <w:r w:rsidRPr="002D6F59">
        <w:rPr>
          <w:rFonts w:ascii="Century Gothic" w:hAnsi="Century Gothic" w:cs="Arial"/>
        </w:rPr>
        <w:t>aracterizados por tener un estado social y democrático de derecho,</w:t>
      </w:r>
      <w:r w:rsidR="007C3816" w:rsidRPr="002D6F59">
        <w:rPr>
          <w:rFonts w:ascii="Century Gothic" w:hAnsi="Century Gothic" w:cs="Arial"/>
        </w:rPr>
        <w:t xml:space="preserve"> como el colombiano, se aplica</w:t>
      </w:r>
      <w:r w:rsidRPr="002D6F59">
        <w:rPr>
          <w:rFonts w:ascii="Century Gothic" w:hAnsi="Century Gothic" w:cs="Arial"/>
        </w:rPr>
        <w:t xml:space="preserve"> la cadena perpetua para delitos que afectan gravemente a la sociedad </w:t>
      </w:r>
      <w:r w:rsidR="007C3816" w:rsidRPr="002D6F59">
        <w:rPr>
          <w:rFonts w:ascii="Century Gothic" w:hAnsi="Century Gothic" w:cs="Arial"/>
        </w:rPr>
        <w:t>y en</w:t>
      </w:r>
      <w:r w:rsidRPr="002D6F59">
        <w:rPr>
          <w:rFonts w:ascii="Century Gothic" w:hAnsi="Century Gothic" w:cs="Arial"/>
        </w:rPr>
        <w:t xml:space="preserve"> especial para los delitos relacionados con violencia sexu</w:t>
      </w:r>
      <w:r w:rsidR="007C3816" w:rsidRPr="002D6F59">
        <w:rPr>
          <w:rFonts w:ascii="Century Gothic" w:hAnsi="Century Gothic" w:cs="Arial"/>
        </w:rPr>
        <w:t>al en contra de niños, niñas, y</w:t>
      </w:r>
      <w:r w:rsidRPr="002D6F59">
        <w:rPr>
          <w:rFonts w:ascii="Century Gothic" w:hAnsi="Century Gothic" w:cs="Arial"/>
        </w:rPr>
        <w:t xml:space="preserve"> adolescentes. Estos países han encontrado que esta medida es proporcional y una respuesta político crimin</w:t>
      </w:r>
      <w:r w:rsidR="00B37DB0" w:rsidRPr="002D6F59">
        <w:rPr>
          <w:rFonts w:ascii="Century Gothic" w:hAnsi="Century Gothic" w:cs="Arial"/>
        </w:rPr>
        <w:t>al adecuada para estos eventos.</w:t>
      </w:r>
    </w:p>
    <w:p w14:paraId="7B5F0190" w14:textId="77777777" w:rsidR="00B17AB2" w:rsidRPr="002D6F59" w:rsidRDefault="00B17AB2" w:rsidP="002D6F59">
      <w:pPr>
        <w:jc w:val="both"/>
        <w:rPr>
          <w:rFonts w:ascii="Century Gothic" w:hAnsi="Century Gothic" w:cs="Arial"/>
        </w:rPr>
      </w:pPr>
    </w:p>
    <w:p w14:paraId="228F0060" w14:textId="1057377F" w:rsidR="00BC121A" w:rsidRPr="002D6F59" w:rsidRDefault="00BC121A" w:rsidP="00B17AB2">
      <w:pPr>
        <w:pStyle w:val="Prrafodelista"/>
        <w:numPr>
          <w:ilvl w:val="0"/>
          <w:numId w:val="46"/>
        </w:numPr>
        <w:jc w:val="both"/>
        <w:rPr>
          <w:rFonts w:ascii="Century Gothic" w:hAnsi="Century Gothic" w:cs="Arial"/>
          <w:b/>
        </w:rPr>
      </w:pPr>
      <w:r w:rsidRPr="002D6F59">
        <w:rPr>
          <w:rFonts w:ascii="Century Gothic" w:hAnsi="Century Gothic" w:cs="Arial"/>
          <w:b/>
        </w:rPr>
        <w:t>EL AUMENTO DE LOS DELITOS QUE AFECTAN LA LIBERTAD, INTEGRIDAD Y FORMACIÓN SEXUALES DE LOS NIÑOS, NIÑAS Y ADOLESCENTES EN COLOMBIA</w:t>
      </w:r>
      <w:r w:rsidR="007C3816" w:rsidRPr="002D6F59">
        <w:rPr>
          <w:rFonts w:ascii="Century Gothic" w:hAnsi="Century Gothic" w:cs="Arial"/>
          <w:b/>
        </w:rPr>
        <w:t>.</w:t>
      </w:r>
    </w:p>
    <w:p w14:paraId="630E299B" w14:textId="70034E5B"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Contra los niños y niñas se ejercen distintos tipos de violencia como abuso sexual, acoso, violación o explotación sexual en la prostitución o la pornografía. “En 2002, la OMS estimó que 150 millones de niñas y 73 millones de niños menores de 18 años experimentaron relaciones sexuales forzadas u otras formas de violencia sexual con contacto físico” según reporta UNICEF. También indica el informe que “los datos disponibles sugieren que la violencia sexual afecta predominantemente a quienes han llegado a la pubertad o la adoles</w:t>
      </w:r>
      <w:r w:rsidR="007C3816" w:rsidRPr="002D6F59">
        <w:rPr>
          <w:rFonts w:ascii="Century Gothic" w:hAnsi="Century Gothic" w:cs="Arial"/>
        </w:rPr>
        <w:t>cencia”. De acuerdo con UNICF, l</w:t>
      </w:r>
      <w:r w:rsidRPr="002D6F59">
        <w:rPr>
          <w:rFonts w:ascii="Century Gothic" w:hAnsi="Century Gothic" w:cs="Arial"/>
        </w:rPr>
        <w:t>as revisiones sistemáticas de tasas de abuso sexual identificadas varían entre el 13,5 y el 28 por ciento de las niñas y entre el 4 y el 12 por ciento de los niños en las regiones del mundo.</w:t>
      </w:r>
    </w:p>
    <w:p w14:paraId="315F0B22" w14:textId="77777777" w:rsidR="00BC121A" w:rsidRPr="002D6F59" w:rsidRDefault="00BC121A" w:rsidP="00B17AB2">
      <w:pPr>
        <w:jc w:val="both"/>
        <w:rPr>
          <w:rFonts w:ascii="Century Gothic" w:hAnsi="Century Gothic" w:cs="Arial"/>
        </w:rPr>
      </w:pPr>
    </w:p>
    <w:p w14:paraId="263AD971" w14:textId="7777777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La literatura especializada indica que la violencia contra los niños y niñas genera consecuencias agudas y a largo plazo como: sexuales y reproductivas y para la salud física y psicológica, entre otras.</w:t>
      </w:r>
      <w:r w:rsidRPr="002D6F59">
        <w:rPr>
          <w:rFonts w:ascii="Century Gothic" w:hAnsi="Century Gothic" w:cs="Arial"/>
          <w:vertAlign w:val="superscript"/>
        </w:rPr>
        <w:footnoteReference w:id="1"/>
      </w:r>
    </w:p>
    <w:p w14:paraId="3AB47F78" w14:textId="77777777" w:rsidR="00BC121A" w:rsidRPr="002D6F59" w:rsidRDefault="00BC121A" w:rsidP="00B17AB2">
      <w:pPr>
        <w:jc w:val="both"/>
        <w:rPr>
          <w:rFonts w:ascii="Century Gothic" w:hAnsi="Century Gothic" w:cs="Arial"/>
        </w:rPr>
      </w:pPr>
    </w:p>
    <w:p w14:paraId="6F796661" w14:textId="04C27E82" w:rsidR="00E16086" w:rsidRPr="002D6F59" w:rsidRDefault="00BC121A" w:rsidP="00B17AB2">
      <w:pPr>
        <w:spacing w:line="276" w:lineRule="auto"/>
        <w:jc w:val="both"/>
        <w:rPr>
          <w:rFonts w:ascii="Century Gothic" w:hAnsi="Century Gothic" w:cs="Arial"/>
        </w:rPr>
      </w:pPr>
      <w:r w:rsidRPr="002D6F59">
        <w:rPr>
          <w:rFonts w:ascii="Century Gothic" w:hAnsi="Century Gothic" w:cs="Arial"/>
        </w:rPr>
        <w:t>En Colombia, durante el año 2018, de acuerdo con el Grupo Centro de Referencia Nacional sobre Violencia (GCRNV) del Instituto Nacional de Medicina Legal y Ciencias Forense, se realizaron 26.065 exámenes médico legales por presunto delito sexual con una tasa por cada cien mil habitan</w:t>
      </w:r>
      <w:r w:rsidR="00E16086" w:rsidRPr="002D6F59">
        <w:rPr>
          <w:rFonts w:ascii="Century Gothic" w:hAnsi="Century Gothic" w:cs="Arial"/>
        </w:rPr>
        <w:t>tes de 52,30. De estos el</w:t>
      </w:r>
      <w:r w:rsidR="00E16086" w:rsidRPr="002D6F59">
        <w:rPr>
          <w:rFonts w:ascii="Century Gothic" w:hAnsi="Century Gothic" w:cs="Arial"/>
          <w:b/>
        </w:rPr>
        <w:t xml:space="preserve"> 87,45</w:t>
      </w:r>
      <w:r w:rsidRPr="002D6F59">
        <w:rPr>
          <w:rFonts w:ascii="Century Gothic" w:hAnsi="Century Gothic" w:cs="Arial"/>
          <w:b/>
        </w:rPr>
        <w:t>% fueron practicados a niño</w:t>
      </w:r>
      <w:r w:rsidR="00E16086" w:rsidRPr="002D6F59">
        <w:rPr>
          <w:rFonts w:ascii="Century Gothic" w:hAnsi="Century Gothic" w:cs="Arial"/>
          <w:b/>
        </w:rPr>
        <w:t>s, niñas y adolescentes</w:t>
      </w:r>
      <w:r w:rsidR="00E16086" w:rsidRPr="002D6F59">
        <w:rPr>
          <w:rFonts w:ascii="Century Gothic" w:hAnsi="Century Gothic" w:cs="Arial"/>
        </w:rPr>
        <w:t>. “El 11,20</w:t>
      </w:r>
      <w:r w:rsidRPr="002D6F59">
        <w:rPr>
          <w:rFonts w:ascii="Century Gothic" w:hAnsi="Century Gothic" w:cs="Arial"/>
        </w:rPr>
        <w:t>% de las valoraciones practicadas durante el año 2018 se realizaron a infantes entre los 0 y 4</w:t>
      </w:r>
      <w:r w:rsidR="00E16086" w:rsidRPr="002D6F59">
        <w:rPr>
          <w:rFonts w:ascii="Century Gothic" w:hAnsi="Century Gothic" w:cs="Arial"/>
        </w:rPr>
        <w:t xml:space="preserve"> años de edad (2.920), el 10,20</w:t>
      </w:r>
      <w:r w:rsidRPr="002D6F59">
        <w:rPr>
          <w:rFonts w:ascii="Century Gothic" w:hAnsi="Century Gothic" w:cs="Arial"/>
        </w:rPr>
        <w:t xml:space="preserve">% de los casos </w:t>
      </w:r>
      <w:r w:rsidRPr="002D6F59">
        <w:rPr>
          <w:rFonts w:ascii="Century Gothic" w:hAnsi="Century Gothic" w:cs="Arial"/>
        </w:rPr>
        <w:lastRenderedPageBreak/>
        <w:t>corresponden a niñas de 4 años de edad o menos representado en 2.275 casos, cifra que triplica el número de</w:t>
      </w:r>
      <w:r w:rsidR="00E16086" w:rsidRPr="002D6F59">
        <w:rPr>
          <w:rFonts w:ascii="Century Gothic" w:hAnsi="Century Gothic" w:cs="Arial"/>
        </w:rPr>
        <w:t xml:space="preserve"> casos valorados en niños, 645”:</w:t>
      </w:r>
      <w:r w:rsidRPr="002D6F59">
        <w:rPr>
          <w:rFonts w:ascii="Century Gothic" w:hAnsi="Century Gothic" w:cs="Arial"/>
          <w:vertAlign w:val="superscript"/>
        </w:rPr>
        <w:footnoteReference w:id="2"/>
      </w:r>
    </w:p>
    <w:p w14:paraId="347C051D" w14:textId="77777777" w:rsidR="00B17AB2" w:rsidRPr="002D6F59" w:rsidRDefault="00B17AB2" w:rsidP="005627A0">
      <w:pPr>
        <w:jc w:val="both"/>
        <w:rPr>
          <w:rFonts w:ascii="Century Gothic" w:hAnsi="Century Gothic" w:cs="Arial"/>
        </w:rPr>
      </w:pPr>
    </w:p>
    <w:p w14:paraId="1F598A55" w14:textId="77777777" w:rsidR="00E16086" w:rsidRPr="002D6F59" w:rsidRDefault="00E16086" w:rsidP="00B17AB2">
      <w:pPr>
        <w:pStyle w:val="Prrafodelista"/>
        <w:ind w:left="0"/>
        <w:jc w:val="center"/>
        <w:rPr>
          <w:rFonts w:ascii="Century Gothic" w:hAnsi="Century Gothic"/>
          <w:sz w:val="21"/>
          <w:szCs w:val="21"/>
        </w:rPr>
      </w:pPr>
      <w:r w:rsidRPr="002D6F59">
        <w:rPr>
          <w:rFonts w:ascii="Century Gothic" w:hAnsi="Century Gothic"/>
          <w:noProof/>
          <w:sz w:val="21"/>
          <w:szCs w:val="21"/>
          <w:lang w:eastAsia="es-CO"/>
        </w:rPr>
        <w:drawing>
          <wp:inline distT="0" distB="0" distL="0" distR="0" wp14:anchorId="68277EBA" wp14:editId="637E4C59">
            <wp:extent cx="4857115" cy="1024932"/>
            <wp:effectExtent l="0" t="0" r="635" b="3810"/>
            <wp:docPr id="2" name="Imagen 2" descr="../Desktop/Captura%20de%20pantalla%202019-08-07%20a%20la(s)%2006.4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19-08-07%20a%20la(s)%2006.45.0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026" t="26597" r="35469" b="59593"/>
                    <a:stretch/>
                  </pic:blipFill>
                  <pic:spPr bwMode="auto">
                    <a:xfrm>
                      <a:off x="0" y="0"/>
                      <a:ext cx="4900649" cy="1034118"/>
                    </a:xfrm>
                    <a:prstGeom prst="rect">
                      <a:avLst/>
                    </a:prstGeom>
                    <a:noFill/>
                    <a:ln>
                      <a:noFill/>
                    </a:ln>
                    <a:extLst>
                      <a:ext uri="{53640926-AAD7-44D8-BBD7-CCE9431645EC}">
                        <a14:shadowObscured xmlns:a14="http://schemas.microsoft.com/office/drawing/2010/main"/>
                      </a:ext>
                    </a:extLst>
                  </pic:spPr>
                </pic:pic>
              </a:graphicData>
            </a:graphic>
          </wp:inline>
        </w:drawing>
      </w:r>
    </w:p>
    <w:p w14:paraId="54DB9935" w14:textId="745C2F15" w:rsidR="00E16086" w:rsidRPr="002D6F59" w:rsidRDefault="00E16086" w:rsidP="00B17AB2">
      <w:pPr>
        <w:pStyle w:val="Prrafodelista"/>
        <w:ind w:left="0"/>
        <w:jc w:val="center"/>
        <w:rPr>
          <w:rFonts w:ascii="Century Gothic" w:hAnsi="Century Gothic" w:cs="Arial"/>
          <w:sz w:val="16"/>
          <w:szCs w:val="16"/>
        </w:rPr>
      </w:pPr>
      <w:r w:rsidRPr="002D6F59">
        <w:rPr>
          <w:rFonts w:ascii="Century Gothic" w:hAnsi="Century Gothic" w:cs="Arial"/>
          <w:sz w:val="16"/>
          <w:szCs w:val="16"/>
        </w:rPr>
        <w:t>Fuente: Informe “Forensis 2018. Datos para la vida”</w:t>
      </w:r>
    </w:p>
    <w:p w14:paraId="5187F80A" w14:textId="703E6BCC" w:rsidR="00E16086" w:rsidRPr="002D6F59" w:rsidRDefault="00BC121A" w:rsidP="00B17AB2">
      <w:pPr>
        <w:spacing w:line="276" w:lineRule="auto"/>
        <w:jc w:val="both"/>
        <w:rPr>
          <w:rFonts w:ascii="Century Gothic" w:hAnsi="Century Gothic" w:cs="Arial"/>
        </w:rPr>
      </w:pPr>
      <w:r w:rsidRPr="002D6F59">
        <w:rPr>
          <w:rFonts w:ascii="Century Gothic" w:hAnsi="Century Gothic" w:cs="Arial"/>
        </w:rPr>
        <w:t>Para las niñas entre 10 a 13 años de edad, el riesgo de ser víctimas de d</w:t>
      </w:r>
      <w:r w:rsidR="00E16086" w:rsidRPr="002D6F59">
        <w:rPr>
          <w:rFonts w:ascii="Century Gothic" w:hAnsi="Century Gothic" w:cs="Arial"/>
        </w:rPr>
        <w:t>elito sexual representó el 41,9</w:t>
      </w:r>
      <w:r w:rsidRPr="002D6F59">
        <w:rPr>
          <w:rFonts w:ascii="Century Gothic" w:hAnsi="Century Gothic" w:cs="Arial"/>
        </w:rPr>
        <w:t>% del total de valoraciones practicadas en mujeres. En este grupo de edad, 5.713 niñas resultaron embarazadas.</w:t>
      </w:r>
    </w:p>
    <w:p w14:paraId="25BA71FD" w14:textId="77777777" w:rsidR="00B17AB2" w:rsidRPr="002D6F59" w:rsidRDefault="00B17AB2" w:rsidP="005627A0">
      <w:pPr>
        <w:jc w:val="both"/>
        <w:rPr>
          <w:rFonts w:ascii="Century Gothic" w:hAnsi="Century Gothic" w:cs="Arial"/>
        </w:rPr>
      </w:pPr>
    </w:p>
    <w:p w14:paraId="1A002524" w14:textId="77777777" w:rsidR="00E16086" w:rsidRPr="002D6F59" w:rsidRDefault="00E16086" w:rsidP="00B17AB2">
      <w:pPr>
        <w:spacing w:line="276" w:lineRule="auto"/>
        <w:jc w:val="both"/>
        <w:rPr>
          <w:rFonts w:ascii="Century Gothic" w:eastAsia="Times New Roman" w:hAnsi="Century Gothic" w:cs="Arial"/>
          <w:lang w:eastAsia="es-ES"/>
        </w:rPr>
      </w:pPr>
      <w:r w:rsidRPr="002D6F59">
        <w:rPr>
          <w:rFonts w:ascii="Century Gothic" w:eastAsia="Times New Roman" w:hAnsi="Century Gothic" w:cs="Arial"/>
          <w:lang w:val="es-CO" w:eastAsia="es-ES"/>
        </w:rPr>
        <w:t xml:space="preserve">De otra parte, es importante señalar que los departamentos </w:t>
      </w:r>
      <w:r w:rsidRPr="002D6F59">
        <w:rPr>
          <w:rFonts w:ascii="Century Gothic" w:eastAsia="Times New Roman" w:hAnsi="Century Gothic" w:cs="Arial"/>
          <w:lang w:eastAsia="es-ES"/>
        </w:rPr>
        <w:t xml:space="preserve">que reportaron los mayores casos de violencia sexual contra los niños, niñas y adolescentes, durante el año 2018 fueron: Bogotá con 3.622 casos, Antioquia con 2.862 casos, Valle del Cauca con 2.009 casos y Cundinamarca con 1.437 casos, los cuales representan el </w:t>
      </w:r>
      <w:r w:rsidRPr="002D6F59">
        <w:rPr>
          <w:rFonts w:ascii="Century Gothic" w:eastAsia="Times New Roman" w:hAnsi="Century Gothic" w:cs="Arial"/>
          <w:b/>
          <w:lang w:eastAsia="es-ES"/>
        </w:rPr>
        <w:t>43.5%</w:t>
      </w:r>
      <w:r w:rsidRPr="002D6F59">
        <w:rPr>
          <w:rFonts w:ascii="Century Gothic" w:eastAsia="Times New Roman" w:hAnsi="Century Gothic" w:cs="Arial"/>
          <w:lang w:eastAsia="es-ES"/>
        </w:rPr>
        <w:t xml:space="preserve"> del total de casos reportados para la vigencia 2018:  </w:t>
      </w:r>
    </w:p>
    <w:p w14:paraId="64F5F1B0" w14:textId="77777777" w:rsidR="00E16086" w:rsidRPr="002D6F59" w:rsidRDefault="00E16086" w:rsidP="00B17AB2">
      <w:pPr>
        <w:spacing w:line="276" w:lineRule="auto"/>
        <w:jc w:val="both"/>
        <w:rPr>
          <w:rFonts w:ascii="Century Gothic" w:eastAsia="Times New Roman" w:hAnsi="Century Gothic" w:cs="Arial"/>
          <w:lang w:val="es-CO" w:eastAsia="es-ES"/>
        </w:rPr>
      </w:pPr>
    </w:p>
    <w:tbl>
      <w:tblPr>
        <w:tblStyle w:val="Tablaconcuadrcula"/>
        <w:tblW w:w="0" w:type="auto"/>
        <w:jc w:val="center"/>
        <w:tblLook w:val="04A0" w:firstRow="1" w:lastRow="0" w:firstColumn="1" w:lastColumn="0" w:noHBand="0" w:noVBand="1"/>
      </w:tblPr>
      <w:tblGrid>
        <w:gridCol w:w="5108"/>
        <w:gridCol w:w="1165"/>
      </w:tblGrid>
      <w:tr w:rsidR="00E16086" w:rsidRPr="002D6F59" w14:paraId="550AD7F7" w14:textId="77777777" w:rsidTr="00B37DB0">
        <w:trPr>
          <w:jc w:val="center"/>
        </w:trPr>
        <w:tc>
          <w:tcPr>
            <w:tcW w:w="5108" w:type="dxa"/>
            <w:shd w:val="clear" w:color="auto" w:fill="F2DBDB" w:themeFill="accent2" w:themeFillTint="33"/>
          </w:tcPr>
          <w:p w14:paraId="4A45EA84"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Amazonas</w:t>
            </w:r>
          </w:p>
        </w:tc>
        <w:tc>
          <w:tcPr>
            <w:tcW w:w="1165" w:type="dxa"/>
            <w:shd w:val="clear" w:color="auto" w:fill="F2DBDB" w:themeFill="accent2" w:themeFillTint="33"/>
          </w:tcPr>
          <w:p w14:paraId="7742B446"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102</w:t>
            </w:r>
          </w:p>
        </w:tc>
      </w:tr>
      <w:tr w:rsidR="00E16086" w:rsidRPr="002D6F59" w14:paraId="43489D64" w14:textId="77777777" w:rsidTr="00B37DB0">
        <w:trPr>
          <w:jc w:val="center"/>
        </w:trPr>
        <w:tc>
          <w:tcPr>
            <w:tcW w:w="5108" w:type="dxa"/>
            <w:shd w:val="clear" w:color="auto" w:fill="FFFF00"/>
          </w:tcPr>
          <w:p w14:paraId="1C0C065C" w14:textId="77777777" w:rsidR="00E16086" w:rsidRPr="002D6F59" w:rsidRDefault="00E16086" w:rsidP="00B17AB2">
            <w:pPr>
              <w:spacing w:line="276" w:lineRule="auto"/>
              <w:jc w:val="center"/>
              <w:rPr>
                <w:rFonts w:ascii="Century Gothic" w:eastAsia="Times New Roman" w:hAnsi="Century Gothic" w:cs="Arial"/>
                <w:b/>
                <w:sz w:val="20"/>
                <w:szCs w:val="20"/>
                <w:lang w:val="es-CO" w:eastAsia="es-ES"/>
              </w:rPr>
            </w:pPr>
            <w:r w:rsidRPr="002D6F59">
              <w:rPr>
                <w:rFonts w:ascii="Century Gothic" w:eastAsia="Times New Roman" w:hAnsi="Century Gothic" w:cs="Arial"/>
                <w:b/>
                <w:color w:val="404040"/>
                <w:sz w:val="20"/>
                <w:szCs w:val="20"/>
              </w:rPr>
              <w:t>Antioquia</w:t>
            </w:r>
          </w:p>
        </w:tc>
        <w:tc>
          <w:tcPr>
            <w:tcW w:w="1165" w:type="dxa"/>
            <w:shd w:val="clear" w:color="auto" w:fill="FFFF00"/>
          </w:tcPr>
          <w:p w14:paraId="145CB2EB" w14:textId="77777777" w:rsidR="00E16086" w:rsidRPr="002D6F59" w:rsidRDefault="00E16086" w:rsidP="00B17AB2">
            <w:pPr>
              <w:spacing w:line="276" w:lineRule="auto"/>
              <w:jc w:val="center"/>
              <w:rPr>
                <w:rFonts w:ascii="Century Gothic" w:eastAsia="Times New Roman" w:hAnsi="Century Gothic" w:cs="Arial"/>
                <w:b/>
                <w:sz w:val="20"/>
                <w:szCs w:val="20"/>
                <w:lang w:val="es-CO" w:eastAsia="es-ES"/>
              </w:rPr>
            </w:pPr>
            <w:r w:rsidRPr="002D6F59">
              <w:rPr>
                <w:rFonts w:ascii="Century Gothic" w:eastAsia="Times New Roman" w:hAnsi="Century Gothic" w:cs="Arial"/>
                <w:b/>
                <w:sz w:val="20"/>
                <w:szCs w:val="20"/>
                <w:lang w:val="es-CO" w:eastAsia="es-ES"/>
              </w:rPr>
              <w:t>2.862</w:t>
            </w:r>
          </w:p>
        </w:tc>
      </w:tr>
      <w:tr w:rsidR="00E16086" w:rsidRPr="002D6F59" w14:paraId="2DB862F5" w14:textId="77777777" w:rsidTr="00B37DB0">
        <w:trPr>
          <w:jc w:val="center"/>
        </w:trPr>
        <w:tc>
          <w:tcPr>
            <w:tcW w:w="5108" w:type="dxa"/>
            <w:shd w:val="clear" w:color="auto" w:fill="F2DBDB" w:themeFill="accent2" w:themeFillTint="33"/>
          </w:tcPr>
          <w:p w14:paraId="53CACBC3"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Arauca</w:t>
            </w:r>
          </w:p>
        </w:tc>
        <w:tc>
          <w:tcPr>
            <w:tcW w:w="1165" w:type="dxa"/>
            <w:shd w:val="clear" w:color="auto" w:fill="F2DBDB" w:themeFill="accent2" w:themeFillTint="33"/>
          </w:tcPr>
          <w:p w14:paraId="25F7C7CA"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238</w:t>
            </w:r>
          </w:p>
        </w:tc>
      </w:tr>
      <w:tr w:rsidR="00E16086" w:rsidRPr="002D6F59" w14:paraId="46D4730C" w14:textId="77777777" w:rsidTr="00B37DB0">
        <w:trPr>
          <w:trHeight w:val="223"/>
          <w:jc w:val="center"/>
        </w:trPr>
        <w:tc>
          <w:tcPr>
            <w:tcW w:w="5108" w:type="dxa"/>
            <w:shd w:val="clear" w:color="auto" w:fill="F2DBDB" w:themeFill="accent2" w:themeFillTint="33"/>
          </w:tcPr>
          <w:p w14:paraId="15B90AED" w14:textId="77777777" w:rsidR="00E16086" w:rsidRPr="002D6F59" w:rsidRDefault="00E16086"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Archipiélago de San Andrés y Providencia</w:t>
            </w:r>
          </w:p>
        </w:tc>
        <w:tc>
          <w:tcPr>
            <w:tcW w:w="1165" w:type="dxa"/>
            <w:shd w:val="clear" w:color="auto" w:fill="F2DBDB" w:themeFill="accent2" w:themeFillTint="33"/>
          </w:tcPr>
          <w:p w14:paraId="76E4E93B"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20</w:t>
            </w:r>
          </w:p>
        </w:tc>
      </w:tr>
      <w:tr w:rsidR="00E16086" w:rsidRPr="002D6F59" w14:paraId="602A52B8" w14:textId="77777777" w:rsidTr="00B37DB0">
        <w:trPr>
          <w:trHeight w:val="265"/>
          <w:jc w:val="center"/>
        </w:trPr>
        <w:tc>
          <w:tcPr>
            <w:tcW w:w="5108" w:type="dxa"/>
            <w:shd w:val="clear" w:color="auto" w:fill="F2DBDB" w:themeFill="accent2" w:themeFillTint="33"/>
          </w:tcPr>
          <w:p w14:paraId="5F4E5B84"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Atlántico</w:t>
            </w:r>
          </w:p>
        </w:tc>
        <w:tc>
          <w:tcPr>
            <w:tcW w:w="1165" w:type="dxa"/>
            <w:shd w:val="clear" w:color="auto" w:fill="F2DBDB" w:themeFill="accent2" w:themeFillTint="33"/>
          </w:tcPr>
          <w:p w14:paraId="5C19ADB8"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1.106</w:t>
            </w:r>
          </w:p>
        </w:tc>
      </w:tr>
      <w:tr w:rsidR="00E16086" w:rsidRPr="002D6F59" w14:paraId="1E8CD34D" w14:textId="77777777" w:rsidTr="00B37DB0">
        <w:trPr>
          <w:jc w:val="center"/>
        </w:trPr>
        <w:tc>
          <w:tcPr>
            <w:tcW w:w="5108" w:type="dxa"/>
            <w:shd w:val="clear" w:color="auto" w:fill="FFFF00"/>
          </w:tcPr>
          <w:p w14:paraId="52B445BE" w14:textId="77777777" w:rsidR="00E16086" w:rsidRPr="002D6F59" w:rsidRDefault="00E16086" w:rsidP="00B17AB2">
            <w:pPr>
              <w:spacing w:line="276" w:lineRule="auto"/>
              <w:jc w:val="center"/>
              <w:rPr>
                <w:rFonts w:ascii="Century Gothic" w:eastAsia="Times New Roman" w:hAnsi="Century Gothic" w:cs="Arial"/>
                <w:b/>
                <w:color w:val="404040"/>
                <w:sz w:val="20"/>
                <w:szCs w:val="20"/>
                <w:highlight w:val="yellow"/>
              </w:rPr>
            </w:pPr>
            <w:r w:rsidRPr="002D6F59">
              <w:rPr>
                <w:rFonts w:ascii="Century Gothic" w:eastAsia="Times New Roman" w:hAnsi="Century Gothic" w:cs="Arial"/>
                <w:b/>
                <w:color w:val="404040"/>
                <w:sz w:val="20"/>
                <w:szCs w:val="20"/>
                <w:highlight w:val="yellow"/>
              </w:rPr>
              <w:t>Bogotá</w:t>
            </w:r>
          </w:p>
        </w:tc>
        <w:tc>
          <w:tcPr>
            <w:tcW w:w="1165" w:type="dxa"/>
            <w:shd w:val="clear" w:color="auto" w:fill="FFFF00"/>
          </w:tcPr>
          <w:p w14:paraId="68E46F40" w14:textId="77777777" w:rsidR="00E16086" w:rsidRPr="002D6F59" w:rsidRDefault="00E16086" w:rsidP="00B17AB2">
            <w:pPr>
              <w:spacing w:line="276" w:lineRule="auto"/>
              <w:jc w:val="center"/>
              <w:rPr>
                <w:rFonts w:ascii="Century Gothic" w:eastAsia="Times New Roman" w:hAnsi="Century Gothic" w:cs="Arial"/>
                <w:b/>
                <w:sz w:val="20"/>
                <w:szCs w:val="20"/>
                <w:highlight w:val="yellow"/>
                <w:lang w:val="es-CO" w:eastAsia="es-ES"/>
              </w:rPr>
            </w:pPr>
            <w:r w:rsidRPr="002D6F59">
              <w:rPr>
                <w:rFonts w:ascii="Century Gothic" w:eastAsia="Times New Roman" w:hAnsi="Century Gothic" w:cs="Arial"/>
                <w:b/>
                <w:sz w:val="20"/>
                <w:szCs w:val="20"/>
                <w:highlight w:val="yellow"/>
                <w:lang w:val="es-CO" w:eastAsia="es-ES"/>
              </w:rPr>
              <w:t>3.622</w:t>
            </w:r>
          </w:p>
        </w:tc>
      </w:tr>
      <w:tr w:rsidR="00E16086" w:rsidRPr="002D6F59" w14:paraId="3897A136" w14:textId="77777777" w:rsidTr="00B37DB0">
        <w:trPr>
          <w:trHeight w:val="209"/>
          <w:jc w:val="center"/>
        </w:trPr>
        <w:tc>
          <w:tcPr>
            <w:tcW w:w="5108" w:type="dxa"/>
            <w:shd w:val="clear" w:color="auto" w:fill="F2DBDB" w:themeFill="accent2" w:themeFillTint="33"/>
          </w:tcPr>
          <w:p w14:paraId="1B92FDC7"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Bolívar</w:t>
            </w:r>
          </w:p>
        </w:tc>
        <w:tc>
          <w:tcPr>
            <w:tcW w:w="1165" w:type="dxa"/>
            <w:shd w:val="clear" w:color="auto" w:fill="F2DBDB" w:themeFill="accent2" w:themeFillTint="33"/>
          </w:tcPr>
          <w:p w14:paraId="711E75BC"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994</w:t>
            </w:r>
          </w:p>
        </w:tc>
      </w:tr>
      <w:tr w:rsidR="00E16086" w:rsidRPr="002D6F59" w14:paraId="4292A7BD" w14:textId="77777777" w:rsidTr="00B37DB0">
        <w:trPr>
          <w:trHeight w:val="154"/>
          <w:jc w:val="center"/>
        </w:trPr>
        <w:tc>
          <w:tcPr>
            <w:tcW w:w="5108" w:type="dxa"/>
            <w:shd w:val="clear" w:color="auto" w:fill="F2DBDB" w:themeFill="accent2" w:themeFillTint="33"/>
          </w:tcPr>
          <w:p w14:paraId="2C106E75"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Boyacá</w:t>
            </w:r>
          </w:p>
        </w:tc>
        <w:tc>
          <w:tcPr>
            <w:tcW w:w="1165" w:type="dxa"/>
            <w:shd w:val="clear" w:color="auto" w:fill="F2DBDB" w:themeFill="accent2" w:themeFillTint="33"/>
          </w:tcPr>
          <w:p w14:paraId="0D6A502E"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541</w:t>
            </w:r>
          </w:p>
        </w:tc>
      </w:tr>
      <w:tr w:rsidR="00E16086" w:rsidRPr="002D6F59" w14:paraId="02362353" w14:textId="77777777" w:rsidTr="00B37DB0">
        <w:trPr>
          <w:jc w:val="center"/>
        </w:trPr>
        <w:tc>
          <w:tcPr>
            <w:tcW w:w="5108" w:type="dxa"/>
            <w:shd w:val="clear" w:color="auto" w:fill="F2DBDB" w:themeFill="accent2" w:themeFillTint="33"/>
          </w:tcPr>
          <w:p w14:paraId="0F39CBE3"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Caldas</w:t>
            </w:r>
          </w:p>
        </w:tc>
        <w:tc>
          <w:tcPr>
            <w:tcW w:w="1165" w:type="dxa"/>
            <w:shd w:val="clear" w:color="auto" w:fill="F2DBDB" w:themeFill="accent2" w:themeFillTint="33"/>
          </w:tcPr>
          <w:p w14:paraId="374F8F38"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470</w:t>
            </w:r>
          </w:p>
        </w:tc>
      </w:tr>
      <w:tr w:rsidR="00E16086" w:rsidRPr="002D6F59" w14:paraId="13400B16" w14:textId="77777777" w:rsidTr="00B37DB0">
        <w:trPr>
          <w:jc w:val="center"/>
        </w:trPr>
        <w:tc>
          <w:tcPr>
            <w:tcW w:w="5108" w:type="dxa"/>
            <w:shd w:val="clear" w:color="auto" w:fill="F2DBDB" w:themeFill="accent2" w:themeFillTint="33"/>
          </w:tcPr>
          <w:p w14:paraId="71F5E1AB"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Caquetá</w:t>
            </w:r>
          </w:p>
        </w:tc>
        <w:tc>
          <w:tcPr>
            <w:tcW w:w="1165" w:type="dxa"/>
            <w:shd w:val="clear" w:color="auto" w:fill="F2DBDB" w:themeFill="accent2" w:themeFillTint="33"/>
          </w:tcPr>
          <w:p w14:paraId="00DF5803"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288</w:t>
            </w:r>
          </w:p>
        </w:tc>
      </w:tr>
      <w:tr w:rsidR="00E16086" w:rsidRPr="002D6F59" w14:paraId="7409E3DC" w14:textId="77777777" w:rsidTr="00B37DB0">
        <w:trPr>
          <w:jc w:val="center"/>
        </w:trPr>
        <w:tc>
          <w:tcPr>
            <w:tcW w:w="5108" w:type="dxa"/>
            <w:shd w:val="clear" w:color="auto" w:fill="F2DBDB" w:themeFill="accent2" w:themeFillTint="33"/>
          </w:tcPr>
          <w:p w14:paraId="1AF613FA"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Casanare</w:t>
            </w:r>
          </w:p>
        </w:tc>
        <w:tc>
          <w:tcPr>
            <w:tcW w:w="1165" w:type="dxa"/>
            <w:shd w:val="clear" w:color="auto" w:fill="F2DBDB" w:themeFill="accent2" w:themeFillTint="33"/>
          </w:tcPr>
          <w:p w14:paraId="6D6919A6"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435</w:t>
            </w:r>
          </w:p>
        </w:tc>
      </w:tr>
      <w:tr w:rsidR="00E16086" w:rsidRPr="002D6F59" w14:paraId="42C4E434" w14:textId="77777777" w:rsidTr="00B37DB0">
        <w:trPr>
          <w:trHeight w:val="363"/>
          <w:jc w:val="center"/>
        </w:trPr>
        <w:tc>
          <w:tcPr>
            <w:tcW w:w="5108" w:type="dxa"/>
            <w:shd w:val="clear" w:color="auto" w:fill="F2DBDB" w:themeFill="accent2" w:themeFillTint="33"/>
          </w:tcPr>
          <w:p w14:paraId="3A775C65"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Cauca</w:t>
            </w:r>
          </w:p>
        </w:tc>
        <w:tc>
          <w:tcPr>
            <w:tcW w:w="1165" w:type="dxa"/>
            <w:shd w:val="clear" w:color="auto" w:fill="F2DBDB" w:themeFill="accent2" w:themeFillTint="33"/>
          </w:tcPr>
          <w:p w14:paraId="102050B5"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378</w:t>
            </w:r>
          </w:p>
        </w:tc>
      </w:tr>
      <w:tr w:rsidR="00E16086" w:rsidRPr="002D6F59" w14:paraId="2E0CD664" w14:textId="77777777" w:rsidTr="00B37DB0">
        <w:trPr>
          <w:jc w:val="center"/>
        </w:trPr>
        <w:tc>
          <w:tcPr>
            <w:tcW w:w="5108" w:type="dxa"/>
            <w:shd w:val="clear" w:color="auto" w:fill="F2DBDB" w:themeFill="accent2" w:themeFillTint="33"/>
          </w:tcPr>
          <w:p w14:paraId="16737E6D"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Cesar</w:t>
            </w:r>
          </w:p>
        </w:tc>
        <w:tc>
          <w:tcPr>
            <w:tcW w:w="1165" w:type="dxa"/>
            <w:shd w:val="clear" w:color="auto" w:fill="F2DBDB" w:themeFill="accent2" w:themeFillTint="33"/>
          </w:tcPr>
          <w:p w14:paraId="67C5E5C6"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583</w:t>
            </w:r>
          </w:p>
        </w:tc>
      </w:tr>
      <w:tr w:rsidR="00E16086" w:rsidRPr="002D6F59" w14:paraId="7B61EB03" w14:textId="77777777" w:rsidTr="00B37DB0">
        <w:trPr>
          <w:jc w:val="center"/>
        </w:trPr>
        <w:tc>
          <w:tcPr>
            <w:tcW w:w="5108" w:type="dxa"/>
            <w:shd w:val="clear" w:color="auto" w:fill="F2DBDB" w:themeFill="accent2" w:themeFillTint="33"/>
          </w:tcPr>
          <w:p w14:paraId="3D897EAA"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Chocó</w:t>
            </w:r>
          </w:p>
        </w:tc>
        <w:tc>
          <w:tcPr>
            <w:tcW w:w="1165" w:type="dxa"/>
            <w:shd w:val="clear" w:color="auto" w:fill="F2DBDB" w:themeFill="accent2" w:themeFillTint="33"/>
          </w:tcPr>
          <w:p w14:paraId="5ECD0C68"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205</w:t>
            </w:r>
          </w:p>
        </w:tc>
      </w:tr>
      <w:tr w:rsidR="00E16086" w:rsidRPr="002D6F59" w14:paraId="5421929C" w14:textId="77777777" w:rsidTr="00B37DB0">
        <w:trPr>
          <w:jc w:val="center"/>
        </w:trPr>
        <w:tc>
          <w:tcPr>
            <w:tcW w:w="5108" w:type="dxa"/>
            <w:shd w:val="clear" w:color="auto" w:fill="F2DBDB" w:themeFill="accent2" w:themeFillTint="33"/>
          </w:tcPr>
          <w:p w14:paraId="7681CE3E"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Córdoba</w:t>
            </w:r>
          </w:p>
        </w:tc>
        <w:tc>
          <w:tcPr>
            <w:tcW w:w="1165" w:type="dxa"/>
            <w:shd w:val="clear" w:color="auto" w:fill="F2DBDB" w:themeFill="accent2" w:themeFillTint="33"/>
          </w:tcPr>
          <w:p w14:paraId="6CD21FF9"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599</w:t>
            </w:r>
          </w:p>
        </w:tc>
      </w:tr>
      <w:tr w:rsidR="00E16086" w:rsidRPr="002D6F59" w14:paraId="16962CF5" w14:textId="77777777" w:rsidTr="00B37DB0">
        <w:trPr>
          <w:trHeight w:val="237"/>
          <w:jc w:val="center"/>
        </w:trPr>
        <w:tc>
          <w:tcPr>
            <w:tcW w:w="5108" w:type="dxa"/>
            <w:shd w:val="clear" w:color="auto" w:fill="FFFF00"/>
          </w:tcPr>
          <w:p w14:paraId="27024DF4" w14:textId="77777777" w:rsidR="00E16086" w:rsidRPr="002D6F59" w:rsidRDefault="00E16086"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Cundinamarca</w:t>
            </w:r>
          </w:p>
        </w:tc>
        <w:tc>
          <w:tcPr>
            <w:tcW w:w="1165" w:type="dxa"/>
            <w:shd w:val="clear" w:color="auto" w:fill="FFFF00"/>
          </w:tcPr>
          <w:p w14:paraId="1E7556F8" w14:textId="77777777" w:rsidR="00E16086" w:rsidRPr="002D6F59" w:rsidRDefault="00E16086" w:rsidP="00B17AB2">
            <w:pPr>
              <w:spacing w:line="276" w:lineRule="auto"/>
              <w:jc w:val="center"/>
              <w:rPr>
                <w:rFonts w:ascii="Century Gothic" w:eastAsia="Times New Roman" w:hAnsi="Century Gothic" w:cs="Arial"/>
                <w:b/>
                <w:sz w:val="20"/>
                <w:szCs w:val="20"/>
                <w:lang w:val="es-CO" w:eastAsia="es-ES"/>
              </w:rPr>
            </w:pPr>
            <w:r w:rsidRPr="002D6F59">
              <w:rPr>
                <w:rFonts w:ascii="Century Gothic" w:eastAsia="Times New Roman" w:hAnsi="Century Gothic" w:cs="Arial"/>
                <w:b/>
                <w:sz w:val="20"/>
                <w:szCs w:val="20"/>
                <w:lang w:val="es-CO" w:eastAsia="es-ES"/>
              </w:rPr>
              <w:t>1.437</w:t>
            </w:r>
          </w:p>
        </w:tc>
      </w:tr>
      <w:tr w:rsidR="00E16086" w:rsidRPr="002D6F59" w14:paraId="1B24847F" w14:textId="77777777" w:rsidTr="00B37DB0">
        <w:trPr>
          <w:trHeight w:val="140"/>
          <w:jc w:val="center"/>
        </w:trPr>
        <w:tc>
          <w:tcPr>
            <w:tcW w:w="5108" w:type="dxa"/>
            <w:shd w:val="clear" w:color="auto" w:fill="F2DBDB" w:themeFill="accent2" w:themeFillTint="33"/>
          </w:tcPr>
          <w:p w14:paraId="1A4763B6"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Guainía</w:t>
            </w:r>
          </w:p>
        </w:tc>
        <w:tc>
          <w:tcPr>
            <w:tcW w:w="1165" w:type="dxa"/>
            <w:shd w:val="clear" w:color="auto" w:fill="F2DBDB" w:themeFill="accent2" w:themeFillTint="33"/>
          </w:tcPr>
          <w:p w14:paraId="3FC8F324"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39</w:t>
            </w:r>
          </w:p>
        </w:tc>
      </w:tr>
      <w:tr w:rsidR="00E16086" w:rsidRPr="002D6F59" w14:paraId="0C8A7D57" w14:textId="77777777" w:rsidTr="00B37DB0">
        <w:trPr>
          <w:trHeight w:val="168"/>
          <w:jc w:val="center"/>
        </w:trPr>
        <w:tc>
          <w:tcPr>
            <w:tcW w:w="5108" w:type="dxa"/>
            <w:shd w:val="clear" w:color="auto" w:fill="F2DBDB" w:themeFill="accent2" w:themeFillTint="33"/>
          </w:tcPr>
          <w:p w14:paraId="62FBBC80"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Guaviare</w:t>
            </w:r>
          </w:p>
        </w:tc>
        <w:tc>
          <w:tcPr>
            <w:tcW w:w="1165" w:type="dxa"/>
            <w:shd w:val="clear" w:color="auto" w:fill="F2DBDB" w:themeFill="accent2" w:themeFillTint="33"/>
          </w:tcPr>
          <w:p w14:paraId="6E7B5576"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25</w:t>
            </w:r>
          </w:p>
        </w:tc>
      </w:tr>
      <w:tr w:rsidR="00E16086" w:rsidRPr="002D6F59" w14:paraId="22063327" w14:textId="77777777" w:rsidTr="00B37DB0">
        <w:trPr>
          <w:jc w:val="center"/>
        </w:trPr>
        <w:tc>
          <w:tcPr>
            <w:tcW w:w="5108" w:type="dxa"/>
            <w:shd w:val="clear" w:color="auto" w:fill="F2DBDB" w:themeFill="accent2" w:themeFillTint="33"/>
          </w:tcPr>
          <w:p w14:paraId="37F7349E"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Huila</w:t>
            </w:r>
          </w:p>
        </w:tc>
        <w:tc>
          <w:tcPr>
            <w:tcW w:w="1165" w:type="dxa"/>
            <w:shd w:val="clear" w:color="auto" w:fill="F2DBDB" w:themeFill="accent2" w:themeFillTint="33"/>
          </w:tcPr>
          <w:p w14:paraId="21AA6C37"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696</w:t>
            </w:r>
          </w:p>
        </w:tc>
      </w:tr>
      <w:tr w:rsidR="00E16086" w:rsidRPr="002D6F59" w14:paraId="41E6564C" w14:textId="77777777" w:rsidTr="00B37DB0">
        <w:trPr>
          <w:trHeight w:val="335"/>
          <w:jc w:val="center"/>
        </w:trPr>
        <w:tc>
          <w:tcPr>
            <w:tcW w:w="5108" w:type="dxa"/>
            <w:shd w:val="clear" w:color="auto" w:fill="F2DBDB" w:themeFill="accent2" w:themeFillTint="33"/>
          </w:tcPr>
          <w:p w14:paraId="62E52958"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La Guajira</w:t>
            </w:r>
          </w:p>
        </w:tc>
        <w:tc>
          <w:tcPr>
            <w:tcW w:w="1165" w:type="dxa"/>
            <w:shd w:val="clear" w:color="auto" w:fill="F2DBDB" w:themeFill="accent2" w:themeFillTint="33"/>
          </w:tcPr>
          <w:p w14:paraId="0C700E6E"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327</w:t>
            </w:r>
          </w:p>
        </w:tc>
      </w:tr>
      <w:tr w:rsidR="00E16086" w:rsidRPr="002D6F59" w14:paraId="674E9468" w14:textId="77777777" w:rsidTr="00B37DB0">
        <w:trPr>
          <w:trHeight w:val="101"/>
          <w:jc w:val="center"/>
        </w:trPr>
        <w:tc>
          <w:tcPr>
            <w:tcW w:w="5108" w:type="dxa"/>
            <w:shd w:val="clear" w:color="auto" w:fill="F2DBDB" w:themeFill="accent2" w:themeFillTint="33"/>
          </w:tcPr>
          <w:p w14:paraId="3C896E43"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lastRenderedPageBreak/>
              <w:t>Magdalena</w:t>
            </w:r>
          </w:p>
        </w:tc>
        <w:tc>
          <w:tcPr>
            <w:tcW w:w="1165" w:type="dxa"/>
            <w:shd w:val="clear" w:color="auto" w:fill="F2DBDB" w:themeFill="accent2" w:themeFillTint="33"/>
          </w:tcPr>
          <w:p w14:paraId="7F57D335"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469</w:t>
            </w:r>
          </w:p>
        </w:tc>
      </w:tr>
      <w:tr w:rsidR="00E16086" w:rsidRPr="002D6F59" w14:paraId="226E1CD4" w14:textId="77777777" w:rsidTr="00B37DB0">
        <w:trPr>
          <w:jc w:val="center"/>
        </w:trPr>
        <w:tc>
          <w:tcPr>
            <w:tcW w:w="5108" w:type="dxa"/>
            <w:shd w:val="clear" w:color="auto" w:fill="F2DBDB" w:themeFill="accent2" w:themeFillTint="33"/>
          </w:tcPr>
          <w:p w14:paraId="4CA0593C"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Meta</w:t>
            </w:r>
          </w:p>
        </w:tc>
        <w:tc>
          <w:tcPr>
            <w:tcW w:w="1165" w:type="dxa"/>
            <w:shd w:val="clear" w:color="auto" w:fill="F2DBDB" w:themeFill="accent2" w:themeFillTint="33"/>
          </w:tcPr>
          <w:p w14:paraId="3E8C2B83"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805</w:t>
            </w:r>
          </w:p>
        </w:tc>
      </w:tr>
      <w:tr w:rsidR="00E16086" w:rsidRPr="002D6F59" w14:paraId="612DB64F" w14:textId="77777777" w:rsidTr="00B37DB0">
        <w:trPr>
          <w:trHeight w:val="326"/>
          <w:jc w:val="center"/>
        </w:trPr>
        <w:tc>
          <w:tcPr>
            <w:tcW w:w="5108" w:type="dxa"/>
            <w:shd w:val="clear" w:color="auto" w:fill="F2DBDB" w:themeFill="accent2" w:themeFillTint="33"/>
          </w:tcPr>
          <w:p w14:paraId="7554BB7E"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Nariño</w:t>
            </w:r>
          </w:p>
        </w:tc>
        <w:tc>
          <w:tcPr>
            <w:tcW w:w="1165" w:type="dxa"/>
            <w:shd w:val="clear" w:color="auto" w:fill="F2DBDB" w:themeFill="accent2" w:themeFillTint="33"/>
          </w:tcPr>
          <w:p w14:paraId="4EA9BFBE"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86</w:t>
            </w:r>
          </w:p>
        </w:tc>
      </w:tr>
      <w:tr w:rsidR="00E16086" w:rsidRPr="002D6F59" w14:paraId="47175222" w14:textId="77777777" w:rsidTr="00B37DB0">
        <w:trPr>
          <w:jc w:val="center"/>
        </w:trPr>
        <w:tc>
          <w:tcPr>
            <w:tcW w:w="5108" w:type="dxa"/>
            <w:shd w:val="clear" w:color="auto" w:fill="F2DBDB" w:themeFill="accent2" w:themeFillTint="33"/>
          </w:tcPr>
          <w:p w14:paraId="31B7F02F"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Norte de Santander</w:t>
            </w:r>
          </w:p>
        </w:tc>
        <w:tc>
          <w:tcPr>
            <w:tcW w:w="1165" w:type="dxa"/>
            <w:shd w:val="clear" w:color="auto" w:fill="F2DBDB" w:themeFill="accent2" w:themeFillTint="33"/>
          </w:tcPr>
          <w:p w14:paraId="7885FBBC"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488</w:t>
            </w:r>
          </w:p>
        </w:tc>
      </w:tr>
      <w:tr w:rsidR="00E16086" w:rsidRPr="002D6F59" w14:paraId="23E7AF8A" w14:textId="77777777" w:rsidTr="00B37DB0">
        <w:trPr>
          <w:jc w:val="center"/>
        </w:trPr>
        <w:tc>
          <w:tcPr>
            <w:tcW w:w="5108" w:type="dxa"/>
            <w:shd w:val="clear" w:color="auto" w:fill="F2DBDB" w:themeFill="accent2" w:themeFillTint="33"/>
          </w:tcPr>
          <w:p w14:paraId="64B6BF7C"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Putumayo</w:t>
            </w:r>
          </w:p>
        </w:tc>
        <w:tc>
          <w:tcPr>
            <w:tcW w:w="1165" w:type="dxa"/>
            <w:shd w:val="clear" w:color="auto" w:fill="F2DBDB" w:themeFill="accent2" w:themeFillTint="33"/>
          </w:tcPr>
          <w:p w14:paraId="51DCEFC8"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202</w:t>
            </w:r>
          </w:p>
        </w:tc>
      </w:tr>
      <w:tr w:rsidR="00E16086" w:rsidRPr="002D6F59" w14:paraId="189DAA41" w14:textId="77777777" w:rsidTr="00B37DB0">
        <w:trPr>
          <w:trHeight w:val="266"/>
          <w:jc w:val="center"/>
        </w:trPr>
        <w:tc>
          <w:tcPr>
            <w:tcW w:w="5108" w:type="dxa"/>
            <w:shd w:val="clear" w:color="auto" w:fill="F2DBDB" w:themeFill="accent2" w:themeFillTint="33"/>
          </w:tcPr>
          <w:p w14:paraId="0A45F97C"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color w:val="404040"/>
                <w:sz w:val="20"/>
                <w:szCs w:val="20"/>
              </w:rPr>
              <w:t>Quindío</w:t>
            </w:r>
          </w:p>
        </w:tc>
        <w:tc>
          <w:tcPr>
            <w:tcW w:w="1165" w:type="dxa"/>
            <w:shd w:val="clear" w:color="auto" w:fill="F2DBDB" w:themeFill="accent2" w:themeFillTint="33"/>
          </w:tcPr>
          <w:p w14:paraId="3980ADF0"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487</w:t>
            </w:r>
          </w:p>
        </w:tc>
      </w:tr>
      <w:tr w:rsidR="00E16086" w:rsidRPr="002D6F59" w14:paraId="7FC0F657" w14:textId="77777777" w:rsidTr="00B37DB0">
        <w:trPr>
          <w:jc w:val="center"/>
        </w:trPr>
        <w:tc>
          <w:tcPr>
            <w:tcW w:w="5108" w:type="dxa"/>
            <w:shd w:val="clear" w:color="auto" w:fill="F2DBDB" w:themeFill="accent2" w:themeFillTint="33"/>
          </w:tcPr>
          <w:p w14:paraId="73993FD3" w14:textId="77777777" w:rsidR="00E16086" w:rsidRPr="002D6F59" w:rsidRDefault="00E16086"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Risaralda</w:t>
            </w:r>
          </w:p>
        </w:tc>
        <w:tc>
          <w:tcPr>
            <w:tcW w:w="1165" w:type="dxa"/>
            <w:shd w:val="clear" w:color="auto" w:fill="F2DBDB" w:themeFill="accent2" w:themeFillTint="33"/>
          </w:tcPr>
          <w:p w14:paraId="5932750A"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641</w:t>
            </w:r>
          </w:p>
        </w:tc>
      </w:tr>
      <w:tr w:rsidR="00E16086" w:rsidRPr="002D6F59" w14:paraId="08455323" w14:textId="77777777" w:rsidTr="00B37DB0">
        <w:trPr>
          <w:jc w:val="center"/>
        </w:trPr>
        <w:tc>
          <w:tcPr>
            <w:tcW w:w="5108" w:type="dxa"/>
            <w:shd w:val="clear" w:color="auto" w:fill="F2DBDB" w:themeFill="accent2" w:themeFillTint="33"/>
          </w:tcPr>
          <w:p w14:paraId="28B77585" w14:textId="77777777" w:rsidR="00E16086" w:rsidRPr="002D6F59" w:rsidRDefault="00E16086"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Santander</w:t>
            </w:r>
          </w:p>
        </w:tc>
        <w:tc>
          <w:tcPr>
            <w:tcW w:w="1165" w:type="dxa"/>
            <w:shd w:val="clear" w:color="auto" w:fill="F2DBDB" w:themeFill="accent2" w:themeFillTint="33"/>
          </w:tcPr>
          <w:p w14:paraId="21244A5B"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1.197</w:t>
            </w:r>
          </w:p>
        </w:tc>
      </w:tr>
      <w:tr w:rsidR="00E16086" w:rsidRPr="002D6F59" w14:paraId="2B709642" w14:textId="77777777" w:rsidTr="00B37DB0">
        <w:trPr>
          <w:trHeight w:val="101"/>
          <w:jc w:val="center"/>
        </w:trPr>
        <w:tc>
          <w:tcPr>
            <w:tcW w:w="5108" w:type="dxa"/>
            <w:shd w:val="clear" w:color="auto" w:fill="F2DBDB" w:themeFill="accent2" w:themeFillTint="33"/>
          </w:tcPr>
          <w:p w14:paraId="66932387" w14:textId="77777777" w:rsidR="00E16086" w:rsidRPr="002D6F59" w:rsidRDefault="00E16086"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Sucre</w:t>
            </w:r>
          </w:p>
        </w:tc>
        <w:tc>
          <w:tcPr>
            <w:tcW w:w="1165" w:type="dxa"/>
            <w:shd w:val="clear" w:color="auto" w:fill="F2DBDB" w:themeFill="accent2" w:themeFillTint="33"/>
          </w:tcPr>
          <w:p w14:paraId="35C6ECA0"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434</w:t>
            </w:r>
          </w:p>
        </w:tc>
      </w:tr>
      <w:tr w:rsidR="00E16086" w:rsidRPr="002D6F59" w14:paraId="71785474" w14:textId="77777777" w:rsidTr="00B37DB0">
        <w:trPr>
          <w:trHeight w:val="127"/>
          <w:jc w:val="center"/>
        </w:trPr>
        <w:tc>
          <w:tcPr>
            <w:tcW w:w="5108" w:type="dxa"/>
            <w:shd w:val="clear" w:color="auto" w:fill="F2DBDB" w:themeFill="accent2" w:themeFillTint="33"/>
          </w:tcPr>
          <w:p w14:paraId="19413D8B" w14:textId="77777777" w:rsidR="00E16086" w:rsidRPr="002D6F59" w:rsidRDefault="00E16086"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Tolima</w:t>
            </w:r>
          </w:p>
        </w:tc>
        <w:tc>
          <w:tcPr>
            <w:tcW w:w="1165" w:type="dxa"/>
            <w:shd w:val="clear" w:color="auto" w:fill="F2DBDB" w:themeFill="accent2" w:themeFillTint="33"/>
          </w:tcPr>
          <w:p w14:paraId="76E2AF9F"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987</w:t>
            </w:r>
          </w:p>
        </w:tc>
      </w:tr>
      <w:tr w:rsidR="00E16086" w:rsidRPr="002D6F59" w14:paraId="60EEB436" w14:textId="77777777" w:rsidTr="00B37DB0">
        <w:trPr>
          <w:jc w:val="center"/>
        </w:trPr>
        <w:tc>
          <w:tcPr>
            <w:tcW w:w="5108" w:type="dxa"/>
            <w:shd w:val="clear" w:color="auto" w:fill="FFFF00"/>
          </w:tcPr>
          <w:p w14:paraId="304CE359" w14:textId="77777777" w:rsidR="00E16086" w:rsidRPr="002D6F59" w:rsidRDefault="00E16086" w:rsidP="00B17AB2">
            <w:pPr>
              <w:spacing w:line="276" w:lineRule="auto"/>
              <w:jc w:val="center"/>
              <w:rPr>
                <w:rFonts w:ascii="Century Gothic" w:eastAsia="Times New Roman" w:hAnsi="Century Gothic" w:cs="Arial"/>
                <w:b/>
                <w:color w:val="404040"/>
                <w:sz w:val="20"/>
                <w:szCs w:val="20"/>
                <w:highlight w:val="yellow"/>
              </w:rPr>
            </w:pPr>
            <w:r w:rsidRPr="002D6F59">
              <w:rPr>
                <w:rFonts w:ascii="Century Gothic" w:eastAsia="Times New Roman" w:hAnsi="Century Gothic" w:cs="Arial"/>
                <w:b/>
                <w:color w:val="404040"/>
                <w:sz w:val="20"/>
                <w:szCs w:val="20"/>
                <w:highlight w:val="yellow"/>
              </w:rPr>
              <w:t>Valle del Cauca</w:t>
            </w:r>
          </w:p>
        </w:tc>
        <w:tc>
          <w:tcPr>
            <w:tcW w:w="1165" w:type="dxa"/>
            <w:shd w:val="clear" w:color="auto" w:fill="FFFF00"/>
          </w:tcPr>
          <w:p w14:paraId="10BA94E4" w14:textId="77777777" w:rsidR="00E16086" w:rsidRPr="002D6F59" w:rsidRDefault="00E16086" w:rsidP="00B17AB2">
            <w:pPr>
              <w:spacing w:line="276" w:lineRule="auto"/>
              <w:jc w:val="center"/>
              <w:rPr>
                <w:rFonts w:ascii="Century Gothic" w:eastAsia="Times New Roman" w:hAnsi="Century Gothic" w:cs="Arial"/>
                <w:b/>
                <w:sz w:val="20"/>
                <w:szCs w:val="20"/>
                <w:highlight w:val="yellow"/>
                <w:lang w:val="es-CO" w:eastAsia="es-ES"/>
              </w:rPr>
            </w:pPr>
            <w:r w:rsidRPr="002D6F59">
              <w:rPr>
                <w:rFonts w:ascii="Century Gothic" w:eastAsia="Times New Roman" w:hAnsi="Century Gothic" w:cs="Arial"/>
                <w:b/>
                <w:sz w:val="20"/>
                <w:szCs w:val="20"/>
                <w:highlight w:val="yellow"/>
                <w:lang w:val="es-CO" w:eastAsia="es-ES"/>
              </w:rPr>
              <w:t>2.009</w:t>
            </w:r>
          </w:p>
        </w:tc>
      </w:tr>
      <w:tr w:rsidR="00E16086" w:rsidRPr="002D6F59" w14:paraId="2C2C3796" w14:textId="77777777" w:rsidTr="00B37DB0">
        <w:trPr>
          <w:trHeight w:val="101"/>
          <w:jc w:val="center"/>
        </w:trPr>
        <w:tc>
          <w:tcPr>
            <w:tcW w:w="5108" w:type="dxa"/>
            <w:shd w:val="clear" w:color="auto" w:fill="F2DBDB" w:themeFill="accent2" w:themeFillTint="33"/>
          </w:tcPr>
          <w:p w14:paraId="40845D19" w14:textId="77777777" w:rsidR="00E16086" w:rsidRPr="002D6F59" w:rsidRDefault="00E16086"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Vaupés</w:t>
            </w:r>
          </w:p>
        </w:tc>
        <w:tc>
          <w:tcPr>
            <w:tcW w:w="1165" w:type="dxa"/>
            <w:shd w:val="clear" w:color="auto" w:fill="F2DBDB" w:themeFill="accent2" w:themeFillTint="33"/>
          </w:tcPr>
          <w:p w14:paraId="30F46DFC"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0</w:t>
            </w:r>
          </w:p>
        </w:tc>
      </w:tr>
      <w:tr w:rsidR="00E16086" w:rsidRPr="002D6F59" w14:paraId="69E5A6C7" w14:textId="77777777" w:rsidTr="00B37DB0">
        <w:trPr>
          <w:trHeight w:val="252"/>
          <w:jc w:val="center"/>
        </w:trPr>
        <w:tc>
          <w:tcPr>
            <w:tcW w:w="5108" w:type="dxa"/>
            <w:shd w:val="clear" w:color="auto" w:fill="F2DBDB" w:themeFill="accent2" w:themeFillTint="33"/>
          </w:tcPr>
          <w:p w14:paraId="375D4391" w14:textId="77777777" w:rsidR="00E16086" w:rsidRPr="002D6F59" w:rsidRDefault="00E16086"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Vichada</w:t>
            </w:r>
          </w:p>
        </w:tc>
        <w:tc>
          <w:tcPr>
            <w:tcW w:w="1165" w:type="dxa"/>
            <w:shd w:val="clear" w:color="auto" w:fill="F2DBDB" w:themeFill="accent2" w:themeFillTint="33"/>
          </w:tcPr>
          <w:p w14:paraId="0FF5F5DC"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10</w:t>
            </w:r>
          </w:p>
        </w:tc>
      </w:tr>
      <w:tr w:rsidR="00E16086" w:rsidRPr="002D6F59" w14:paraId="3F0FCA63" w14:textId="77777777" w:rsidTr="00B37DB0">
        <w:trPr>
          <w:trHeight w:val="252"/>
          <w:jc w:val="center"/>
        </w:trPr>
        <w:tc>
          <w:tcPr>
            <w:tcW w:w="5108" w:type="dxa"/>
            <w:shd w:val="clear" w:color="auto" w:fill="F2DBDB" w:themeFill="accent2" w:themeFillTint="33"/>
          </w:tcPr>
          <w:p w14:paraId="2A3C006D" w14:textId="77777777" w:rsidR="00E16086" w:rsidRPr="002D6F59" w:rsidRDefault="00E16086"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 xml:space="preserve">Si información </w:t>
            </w:r>
          </w:p>
        </w:tc>
        <w:tc>
          <w:tcPr>
            <w:tcW w:w="1165" w:type="dxa"/>
            <w:shd w:val="clear" w:color="auto" w:fill="F2DBDB" w:themeFill="accent2" w:themeFillTint="33"/>
          </w:tcPr>
          <w:p w14:paraId="5AE93129" w14:textId="77777777" w:rsidR="00E16086" w:rsidRPr="002D6F59" w:rsidRDefault="00E16086" w:rsidP="00B17AB2">
            <w:pPr>
              <w:spacing w:line="276" w:lineRule="auto"/>
              <w:jc w:val="center"/>
              <w:rPr>
                <w:rFonts w:ascii="Century Gothic" w:eastAsia="Times New Roman" w:hAnsi="Century Gothic" w:cs="Arial"/>
                <w:sz w:val="20"/>
                <w:szCs w:val="20"/>
                <w:lang w:val="es-CO" w:eastAsia="es-ES"/>
              </w:rPr>
            </w:pPr>
            <w:r w:rsidRPr="002D6F59">
              <w:rPr>
                <w:rFonts w:ascii="Century Gothic" w:eastAsia="Times New Roman" w:hAnsi="Century Gothic" w:cs="Arial"/>
                <w:sz w:val="20"/>
                <w:szCs w:val="20"/>
                <w:lang w:val="es-CO" w:eastAsia="es-ES"/>
              </w:rPr>
              <w:t>6</w:t>
            </w:r>
          </w:p>
        </w:tc>
      </w:tr>
      <w:tr w:rsidR="00E16086" w:rsidRPr="002D6F59" w14:paraId="693D729F" w14:textId="77777777" w:rsidTr="00B37DB0">
        <w:trPr>
          <w:trHeight w:val="252"/>
          <w:jc w:val="center"/>
        </w:trPr>
        <w:tc>
          <w:tcPr>
            <w:tcW w:w="5108" w:type="dxa"/>
            <w:shd w:val="clear" w:color="auto" w:fill="F2DBDB" w:themeFill="accent2" w:themeFillTint="33"/>
          </w:tcPr>
          <w:p w14:paraId="5BD3FF4C" w14:textId="77777777" w:rsidR="00E16086" w:rsidRPr="002D6F59" w:rsidRDefault="00E16086"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TOTAL</w:t>
            </w:r>
          </w:p>
        </w:tc>
        <w:tc>
          <w:tcPr>
            <w:tcW w:w="1165" w:type="dxa"/>
            <w:shd w:val="clear" w:color="auto" w:fill="F2DBDB" w:themeFill="accent2" w:themeFillTint="33"/>
          </w:tcPr>
          <w:p w14:paraId="6EF5DD73" w14:textId="77777777" w:rsidR="00E16086" w:rsidRPr="002D6F59" w:rsidRDefault="00E16086" w:rsidP="00B17AB2">
            <w:pPr>
              <w:spacing w:line="276" w:lineRule="auto"/>
              <w:jc w:val="center"/>
              <w:rPr>
                <w:rFonts w:ascii="Century Gothic" w:eastAsia="Times New Roman" w:hAnsi="Century Gothic" w:cs="Arial"/>
                <w:b/>
                <w:sz w:val="20"/>
                <w:szCs w:val="20"/>
                <w:lang w:val="es-CO" w:eastAsia="es-ES"/>
              </w:rPr>
            </w:pPr>
            <w:r w:rsidRPr="002D6F59">
              <w:rPr>
                <w:rFonts w:ascii="Century Gothic" w:eastAsia="Times New Roman" w:hAnsi="Century Gothic" w:cs="Arial"/>
                <w:b/>
                <w:sz w:val="20"/>
                <w:szCs w:val="20"/>
                <w:lang w:val="es-CO" w:eastAsia="es-ES"/>
              </w:rPr>
              <w:t>22.794</w:t>
            </w:r>
          </w:p>
        </w:tc>
      </w:tr>
    </w:tbl>
    <w:p w14:paraId="684383FA" w14:textId="4441260B" w:rsidR="00E16086" w:rsidRPr="002D6F59" w:rsidRDefault="00E16086" w:rsidP="00B17AB2">
      <w:pPr>
        <w:spacing w:line="276" w:lineRule="auto"/>
        <w:jc w:val="center"/>
        <w:rPr>
          <w:rFonts w:ascii="Century Gothic" w:eastAsia="Times New Roman" w:hAnsi="Century Gothic" w:cs="Arial"/>
          <w:color w:val="0000FF"/>
          <w:sz w:val="18"/>
          <w:szCs w:val="18"/>
          <w:u w:val="single"/>
        </w:rPr>
      </w:pPr>
      <w:r w:rsidRPr="002D6F59">
        <w:rPr>
          <w:rFonts w:ascii="Century Gothic" w:eastAsia="Times New Roman" w:hAnsi="Century Gothic" w:cs="Arial"/>
          <w:sz w:val="18"/>
          <w:szCs w:val="18"/>
          <w:lang w:val="es-CO" w:eastAsia="es-ES"/>
        </w:rPr>
        <w:t xml:space="preserve">Fuente: </w:t>
      </w:r>
      <w:hyperlink r:id="rId11" w:history="1">
        <w:r w:rsidRPr="002D6F59">
          <w:rPr>
            <w:rStyle w:val="Hipervnculo"/>
            <w:rFonts w:ascii="Century Gothic" w:eastAsia="Times New Roman" w:hAnsi="Century Gothic" w:cs="Arial"/>
            <w:sz w:val="18"/>
            <w:szCs w:val="18"/>
          </w:rPr>
          <w:t>http://www.medicinalegal.gov.co/observatorio-de-violencia</w:t>
        </w:r>
      </w:hyperlink>
    </w:p>
    <w:p w14:paraId="7ECF5312" w14:textId="77777777" w:rsidR="00B17AB2" w:rsidRPr="002D6F59" w:rsidRDefault="00B17AB2" w:rsidP="005627A0">
      <w:pPr>
        <w:jc w:val="both"/>
        <w:rPr>
          <w:rFonts w:ascii="Century Gothic" w:hAnsi="Century Gothic" w:cs="Arial"/>
        </w:rPr>
      </w:pPr>
    </w:p>
    <w:p w14:paraId="2C4AF4CE" w14:textId="7DF6C422" w:rsidR="00BC121A" w:rsidRPr="002D6F59" w:rsidRDefault="00E16086" w:rsidP="00B17AB2">
      <w:pPr>
        <w:spacing w:line="276" w:lineRule="auto"/>
        <w:jc w:val="both"/>
        <w:rPr>
          <w:rFonts w:ascii="Century Gothic" w:hAnsi="Century Gothic" w:cs="Arial"/>
        </w:rPr>
      </w:pPr>
      <w:r w:rsidRPr="002D6F59">
        <w:rPr>
          <w:rFonts w:ascii="Century Gothic" w:hAnsi="Century Gothic" w:cs="Arial"/>
        </w:rPr>
        <w:t>E</w:t>
      </w:r>
      <w:r w:rsidR="00BC121A" w:rsidRPr="002D6F59">
        <w:rPr>
          <w:rFonts w:ascii="Century Gothic" w:hAnsi="Century Gothic" w:cs="Arial"/>
        </w:rPr>
        <w:t>ntre enero y mayo de 2019, de los 98.213 exámenes médico legales realizados por lesiones no fatales, el 10,82% correspondieron a presunto delito sexual. Las ciudades capitales con mayor número de casos fueron Bogotá (22,978), Medellín (5.581) y Cali (4.436)</w:t>
      </w:r>
      <w:r w:rsidRPr="002D6F59">
        <w:rPr>
          <w:rFonts w:ascii="Century Gothic" w:hAnsi="Century Gothic" w:cs="Arial"/>
        </w:rPr>
        <w:t>.</w:t>
      </w:r>
    </w:p>
    <w:p w14:paraId="4EBCF068" w14:textId="77777777" w:rsidR="00E16086" w:rsidRPr="002D6F59" w:rsidRDefault="00E16086" w:rsidP="005627A0">
      <w:pPr>
        <w:jc w:val="both"/>
        <w:rPr>
          <w:rFonts w:ascii="Century Gothic" w:hAnsi="Century Gothic" w:cs="Arial"/>
          <w:bCs/>
          <w:lang w:val="es-ES"/>
        </w:rPr>
      </w:pPr>
    </w:p>
    <w:p w14:paraId="34CB6135" w14:textId="0C8FFA4B" w:rsidR="00E16086" w:rsidRPr="002D6F59" w:rsidRDefault="00E16086" w:rsidP="00B17AB2">
      <w:pPr>
        <w:spacing w:line="276" w:lineRule="auto"/>
        <w:jc w:val="both"/>
        <w:rPr>
          <w:rFonts w:ascii="Century Gothic" w:eastAsia="Times New Roman" w:hAnsi="Century Gothic" w:cs="Arial"/>
          <w:lang w:val="es-CO" w:eastAsia="es-ES"/>
        </w:rPr>
      </w:pPr>
      <w:r w:rsidRPr="002D6F59">
        <w:rPr>
          <w:rFonts w:ascii="Century Gothic" w:eastAsia="Times New Roman" w:hAnsi="Century Gothic" w:cs="Arial"/>
          <w:lang w:val="es-CO" w:eastAsia="es-ES"/>
        </w:rPr>
        <w:t xml:space="preserve">Ahora bien, en el mes de julio de 2019, el Ministerio de Salud y Protección Social, en alianza estratégica con 16 entidades, dio a conocer los resultados de la primera Encuesta de Violencia contra Niños, Niñas y Adolescentes (EVCNNA), </w:t>
      </w:r>
      <w:r w:rsidRPr="002D6F59">
        <w:rPr>
          <w:rFonts w:ascii="Century Gothic" w:eastAsia="Times New Roman" w:hAnsi="Century Gothic" w:cs="Arial"/>
          <w:lang w:eastAsia="es-ES"/>
        </w:rPr>
        <w:t>elaborada</w:t>
      </w:r>
      <w:r w:rsidRPr="002D6F59">
        <w:rPr>
          <w:rFonts w:ascii="Century Gothic" w:eastAsia="Times New Roman" w:hAnsi="Century Gothic" w:cs="Arial"/>
          <w:lang w:val="es-CO" w:eastAsia="es-ES"/>
        </w:rPr>
        <w:t xml:space="preserve"> por primera vez en Colombia, la cual arrojó resultados alarmantes:  </w:t>
      </w:r>
    </w:p>
    <w:p w14:paraId="6812CAA3" w14:textId="77777777" w:rsidR="009A4A7E" w:rsidRPr="002D6F59" w:rsidRDefault="009A4A7E" w:rsidP="00B17AB2">
      <w:pPr>
        <w:spacing w:line="276" w:lineRule="auto"/>
        <w:jc w:val="both"/>
        <w:rPr>
          <w:rFonts w:ascii="Century Gothic" w:eastAsia="Times New Roman" w:hAnsi="Century Gothic" w:cs="Arial"/>
          <w:lang w:val="es-CO" w:eastAsia="es-ES"/>
        </w:rPr>
      </w:pPr>
    </w:p>
    <w:p w14:paraId="795CF342" w14:textId="609B6DBB" w:rsidR="00E16086" w:rsidRPr="002D6F59" w:rsidRDefault="00E16086" w:rsidP="00B17AB2">
      <w:pPr>
        <w:pStyle w:val="Prrafodelista"/>
        <w:numPr>
          <w:ilvl w:val="0"/>
          <w:numId w:val="35"/>
        </w:numPr>
        <w:spacing w:after="0"/>
        <w:jc w:val="both"/>
        <w:rPr>
          <w:rFonts w:ascii="Century Gothic" w:eastAsia="Times New Roman" w:hAnsi="Century Gothic" w:cs="Arial"/>
          <w:sz w:val="24"/>
          <w:szCs w:val="24"/>
          <w:lang w:eastAsia="es-ES"/>
        </w:rPr>
      </w:pPr>
      <w:r w:rsidRPr="002D6F59">
        <w:rPr>
          <w:rFonts w:ascii="Century Gothic" w:eastAsia="Times New Roman" w:hAnsi="Century Gothic" w:cs="Arial"/>
          <w:sz w:val="24"/>
          <w:szCs w:val="24"/>
          <w:lang w:eastAsia="es-ES"/>
        </w:rPr>
        <w:t xml:space="preserve">El 23.1% de los jóvenes encuestados de 18 a 24 años sufrieron violencia sexual antes de los 18 años, esto a nivel nacional, y la cifra es aún mayor en los municipios afectados por el conflicto, en los cuales el porcentaje es del 24.4%, siendo las mujeres las que reportan las mayores cifras, con una diferencia del 7.5% frente a los hombres (a nivel nacional): </w:t>
      </w:r>
    </w:p>
    <w:p w14:paraId="7DED3657" w14:textId="77777777" w:rsidR="00E16086" w:rsidRPr="002D6F59" w:rsidRDefault="00E16086" w:rsidP="005627A0">
      <w:pPr>
        <w:pStyle w:val="Prrafodelista"/>
        <w:spacing w:after="0" w:line="240" w:lineRule="auto"/>
        <w:ind w:left="0"/>
        <w:jc w:val="both"/>
        <w:rPr>
          <w:rFonts w:ascii="Century Gothic" w:hAnsi="Century Gothic" w:cs="Arial"/>
          <w:sz w:val="24"/>
          <w:szCs w:val="24"/>
        </w:rPr>
      </w:pPr>
    </w:p>
    <w:p w14:paraId="1A3A0BC7" w14:textId="292C9E60" w:rsidR="00E16086" w:rsidRDefault="00E16086" w:rsidP="005627A0">
      <w:pPr>
        <w:pStyle w:val="Prrafodelista"/>
        <w:ind w:left="0"/>
        <w:jc w:val="center"/>
        <w:rPr>
          <w:rFonts w:ascii="Century Gothic" w:hAnsi="Century Gothic" w:cs="Arial"/>
          <w:sz w:val="24"/>
          <w:szCs w:val="24"/>
        </w:rPr>
      </w:pPr>
      <w:r w:rsidRPr="002D6F59">
        <w:rPr>
          <w:rFonts w:ascii="Century Gothic" w:hAnsi="Century Gothic" w:cs="Arial"/>
          <w:noProof/>
          <w:sz w:val="24"/>
          <w:szCs w:val="24"/>
          <w:lang w:eastAsia="es-CO"/>
        </w:rPr>
        <w:drawing>
          <wp:inline distT="0" distB="0" distL="0" distR="0" wp14:anchorId="7EA6ACCF" wp14:editId="7DE38C8A">
            <wp:extent cx="4000918" cy="883920"/>
            <wp:effectExtent l="0" t="0" r="0" b="0"/>
            <wp:docPr id="1" name="Imagen 1" descr="../Desktop/Captura%20de%20pantalla%202019-08-11%20a%20la(s)%2013.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19-08-11%20a%20la(s)%2013.30.5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449" t="60574" r="24036" b="14546"/>
                    <a:stretch/>
                  </pic:blipFill>
                  <pic:spPr bwMode="auto">
                    <a:xfrm>
                      <a:off x="0" y="0"/>
                      <a:ext cx="4101856" cy="906220"/>
                    </a:xfrm>
                    <a:prstGeom prst="rect">
                      <a:avLst/>
                    </a:prstGeom>
                    <a:noFill/>
                    <a:ln>
                      <a:noFill/>
                    </a:ln>
                    <a:extLst>
                      <a:ext uri="{53640926-AAD7-44D8-BBD7-CCE9431645EC}">
                        <a14:shadowObscured xmlns:a14="http://schemas.microsoft.com/office/drawing/2010/main"/>
                      </a:ext>
                    </a:extLst>
                  </pic:spPr>
                </pic:pic>
              </a:graphicData>
            </a:graphic>
          </wp:inline>
        </w:drawing>
      </w:r>
    </w:p>
    <w:p w14:paraId="2FC47FCC" w14:textId="77777777" w:rsidR="005627A0" w:rsidRPr="002D6F59" w:rsidRDefault="005627A0" w:rsidP="005627A0">
      <w:pPr>
        <w:pStyle w:val="Prrafodelista"/>
        <w:spacing w:line="240" w:lineRule="auto"/>
        <w:ind w:left="0"/>
        <w:jc w:val="center"/>
        <w:rPr>
          <w:rFonts w:ascii="Century Gothic" w:hAnsi="Century Gothic" w:cs="Arial"/>
          <w:sz w:val="24"/>
          <w:szCs w:val="24"/>
        </w:rPr>
      </w:pPr>
    </w:p>
    <w:p w14:paraId="3FE29195" w14:textId="290772BF" w:rsidR="00E16086" w:rsidRPr="002D6F59" w:rsidRDefault="00E16086" w:rsidP="00B17AB2">
      <w:pPr>
        <w:pStyle w:val="Prrafodelista"/>
        <w:numPr>
          <w:ilvl w:val="0"/>
          <w:numId w:val="35"/>
        </w:numPr>
        <w:spacing w:after="0"/>
        <w:jc w:val="both"/>
        <w:rPr>
          <w:rFonts w:ascii="Century Gothic" w:hAnsi="Century Gothic" w:cs="Arial"/>
          <w:sz w:val="24"/>
          <w:szCs w:val="24"/>
        </w:rPr>
      </w:pPr>
      <w:r w:rsidRPr="002D6F59">
        <w:rPr>
          <w:rFonts w:ascii="Century Gothic" w:hAnsi="Century Gothic" w:cs="Arial"/>
          <w:sz w:val="24"/>
          <w:szCs w:val="24"/>
        </w:rPr>
        <w:t xml:space="preserve">Si se analiza cada una de las formas de violencia sexual, se evidencia que, las mujeres tanto a nivel nacional como en los municipios </w:t>
      </w:r>
      <w:r w:rsidRPr="002D6F59">
        <w:rPr>
          <w:rFonts w:ascii="Century Gothic" w:hAnsi="Century Gothic" w:cs="Arial"/>
          <w:sz w:val="24"/>
          <w:szCs w:val="24"/>
        </w:rPr>
        <w:lastRenderedPageBreak/>
        <w:t>priorizados, reportan los porcentajes más altos, con diferencias frente a los hombres de más del 50%:</w:t>
      </w:r>
    </w:p>
    <w:p w14:paraId="71F7D51F" w14:textId="77777777" w:rsidR="00E16086" w:rsidRPr="002D6F59" w:rsidRDefault="00E16086" w:rsidP="00B17AB2">
      <w:pPr>
        <w:pStyle w:val="Prrafodelista"/>
        <w:jc w:val="both"/>
        <w:rPr>
          <w:rFonts w:ascii="Century Gothic" w:hAnsi="Century Gothic" w:cs="Arial"/>
          <w:sz w:val="24"/>
          <w:szCs w:val="24"/>
        </w:rPr>
      </w:pPr>
    </w:p>
    <w:p w14:paraId="38509A81" w14:textId="23E42190" w:rsidR="00352A5A" w:rsidRPr="002D6F59" w:rsidRDefault="00E16086" w:rsidP="00B17AB2">
      <w:pPr>
        <w:pStyle w:val="Prrafodelista"/>
        <w:spacing w:after="0"/>
        <w:jc w:val="center"/>
        <w:rPr>
          <w:rFonts w:ascii="Century Gothic" w:hAnsi="Century Gothic" w:cs="Arial"/>
          <w:b/>
          <w:sz w:val="24"/>
          <w:szCs w:val="24"/>
        </w:rPr>
      </w:pPr>
      <w:r w:rsidRPr="002D6F59">
        <w:rPr>
          <w:rFonts w:ascii="Century Gothic" w:hAnsi="Century Gothic" w:cs="Arial"/>
          <w:b/>
          <w:sz w:val="24"/>
          <w:szCs w:val="24"/>
        </w:rPr>
        <w:t>NACIONAL</w:t>
      </w:r>
    </w:p>
    <w:p w14:paraId="4C3DD2A1" w14:textId="77777777" w:rsidR="00E16086" w:rsidRPr="002D6F59" w:rsidRDefault="00E16086" w:rsidP="00B17AB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522A5B56" wp14:editId="589E56C7">
            <wp:extent cx="4819266" cy="864159"/>
            <wp:effectExtent l="0" t="0" r="635" b="0"/>
            <wp:docPr id="4" name="Imagen 4" descr="../Desktop/Captura%20de%20pantalla%202019-08-11%20a%20la(s)%2013.4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a%20de%20pantalla%202019-08-11%20a%20la(s)%2013.46.0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862" t="58909" r="10204" b="16000"/>
                    <a:stretch/>
                  </pic:blipFill>
                  <pic:spPr bwMode="auto">
                    <a:xfrm>
                      <a:off x="0" y="0"/>
                      <a:ext cx="4971405" cy="891440"/>
                    </a:xfrm>
                    <a:prstGeom prst="rect">
                      <a:avLst/>
                    </a:prstGeom>
                    <a:noFill/>
                    <a:ln>
                      <a:noFill/>
                    </a:ln>
                    <a:extLst>
                      <a:ext uri="{53640926-AAD7-44D8-BBD7-CCE9431645EC}">
                        <a14:shadowObscured xmlns:a14="http://schemas.microsoft.com/office/drawing/2010/main"/>
                      </a:ext>
                    </a:extLst>
                  </pic:spPr>
                </pic:pic>
              </a:graphicData>
            </a:graphic>
          </wp:inline>
        </w:drawing>
      </w:r>
    </w:p>
    <w:p w14:paraId="01E85E83" w14:textId="00919FBF" w:rsidR="00352A5A" w:rsidRPr="002D6F59" w:rsidRDefault="00352A5A" w:rsidP="00B17AB2">
      <w:pPr>
        <w:spacing w:line="276" w:lineRule="auto"/>
        <w:rPr>
          <w:rFonts w:ascii="Century Gothic" w:hAnsi="Century Gothic" w:cs="Arial"/>
          <w:b/>
        </w:rPr>
      </w:pPr>
    </w:p>
    <w:p w14:paraId="0BAF5BE6" w14:textId="6C10ABD0" w:rsidR="00E16086" w:rsidRPr="002D6F59" w:rsidRDefault="00E16086" w:rsidP="00B17AB2">
      <w:pPr>
        <w:spacing w:line="276" w:lineRule="auto"/>
        <w:jc w:val="center"/>
        <w:rPr>
          <w:rFonts w:ascii="Century Gothic" w:hAnsi="Century Gothic" w:cs="Arial"/>
          <w:b/>
        </w:rPr>
      </w:pPr>
      <w:r w:rsidRPr="002D6F59">
        <w:rPr>
          <w:rFonts w:ascii="Century Gothic" w:hAnsi="Century Gothic" w:cs="Arial"/>
          <w:b/>
        </w:rPr>
        <w:t>PRIORIZADOS</w:t>
      </w:r>
    </w:p>
    <w:p w14:paraId="034218A7" w14:textId="6A959664" w:rsidR="00E16086" w:rsidRDefault="00E16086" w:rsidP="00B17AB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75E790C5" wp14:editId="4C7A5E6B">
            <wp:extent cx="4791075" cy="964641"/>
            <wp:effectExtent l="0" t="0" r="0" b="6985"/>
            <wp:docPr id="7" name="Imagen 7" descr="../Desktop/Captura%20de%20pantalla%202019-08-11%20a%20la(s)%2013.5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a%20de%20pantalla%202019-08-11%20a%20la(s)%2013.56.4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326" t="60364" r="10884" b="11636"/>
                    <a:stretch/>
                  </pic:blipFill>
                  <pic:spPr bwMode="auto">
                    <a:xfrm>
                      <a:off x="0" y="0"/>
                      <a:ext cx="4803984" cy="967240"/>
                    </a:xfrm>
                    <a:prstGeom prst="rect">
                      <a:avLst/>
                    </a:prstGeom>
                    <a:noFill/>
                    <a:ln>
                      <a:noFill/>
                    </a:ln>
                    <a:extLst>
                      <a:ext uri="{53640926-AAD7-44D8-BBD7-CCE9431645EC}">
                        <a14:shadowObscured xmlns:a14="http://schemas.microsoft.com/office/drawing/2010/main"/>
                      </a:ext>
                    </a:extLst>
                  </pic:spPr>
                </pic:pic>
              </a:graphicData>
            </a:graphic>
          </wp:inline>
        </w:drawing>
      </w:r>
    </w:p>
    <w:p w14:paraId="07B75BD0" w14:textId="77777777" w:rsidR="005627A0" w:rsidRPr="002D6F59" w:rsidRDefault="005627A0" w:rsidP="005627A0">
      <w:pPr>
        <w:jc w:val="center"/>
        <w:rPr>
          <w:rFonts w:ascii="Century Gothic" w:hAnsi="Century Gothic" w:cs="Arial"/>
        </w:rPr>
      </w:pPr>
    </w:p>
    <w:p w14:paraId="52509A84" w14:textId="255868C1" w:rsidR="00E16086" w:rsidRPr="002D6F59" w:rsidRDefault="00E16086" w:rsidP="00B17AB2">
      <w:pPr>
        <w:pStyle w:val="Prrafodelista"/>
        <w:numPr>
          <w:ilvl w:val="0"/>
          <w:numId w:val="35"/>
        </w:numPr>
        <w:spacing w:after="0"/>
        <w:jc w:val="both"/>
        <w:rPr>
          <w:rFonts w:ascii="Century Gothic" w:hAnsi="Century Gothic" w:cs="Arial"/>
          <w:sz w:val="24"/>
          <w:szCs w:val="24"/>
        </w:rPr>
      </w:pPr>
      <w:r w:rsidRPr="002D6F59">
        <w:rPr>
          <w:rFonts w:ascii="Century Gothic" w:hAnsi="Century Gothic" w:cs="Arial"/>
          <w:sz w:val="24"/>
          <w:szCs w:val="24"/>
        </w:rPr>
        <w:t>En relación a los perpetradores más frecuentes en la experiencia del primer acto de violencia sexual contra las niñas y los niños antes de los 18 años, se observa que los miembros de la familia son los primeros responsables de estos actos reprochables:</w:t>
      </w:r>
    </w:p>
    <w:p w14:paraId="0A81C81F" w14:textId="77777777" w:rsidR="009A4A7E" w:rsidRPr="002D6F59" w:rsidRDefault="009A4A7E" w:rsidP="00B17AB2">
      <w:pPr>
        <w:pStyle w:val="Prrafodelista"/>
        <w:spacing w:after="0"/>
        <w:jc w:val="both"/>
        <w:rPr>
          <w:rFonts w:ascii="Century Gothic" w:hAnsi="Century Gothic" w:cs="Arial"/>
          <w:sz w:val="24"/>
          <w:szCs w:val="24"/>
        </w:rPr>
      </w:pPr>
    </w:p>
    <w:p w14:paraId="552ED834" w14:textId="125D3AA8" w:rsidR="00E16086" w:rsidRPr="002D6F59" w:rsidRDefault="00E16086" w:rsidP="00B17AB2">
      <w:pPr>
        <w:pStyle w:val="Prrafodelista"/>
        <w:ind w:left="0"/>
        <w:jc w:val="center"/>
        <w:rPr>
          <w:rFonts w:ascii="Century Gothic" w:hAnsi="Century Gothic" w:cs="Arial"/>
          <w:sz w:val="24"/>
          <w:szCs w:val="24"/>
        </w:rPr>
      </w:pPr>
      <w:r w:rsidRPr="002D6F59">
        <w:rPr>
          <w:rFonts w:ascii="Century Gothic" w:hAnsi="Century Gothic" w:cs="Arial"/>
          <w:noProof/>
          <w:sz w:val="24"/>
          <w:szCs w:val="24"/>
          <w:lang w:eastAsia="es-CO"/>
        </w:rPr>
        <w:drawing>
          <wp:inline distT="0" distB="0" distL="0" distR="0" wp14:anchorId="3D7E4626" wp14:editId="7C956CFE">
            <wp:extent cx="3498850" cy="813916"/>
            <wp:effectExtent l="0" t="0" r="6350" b="5715"/>
            <wp:docPr id="8" name="Imagen 8" descr="../Desktop/Captura%20de%20pantalla%202019-08-11%20a%20la(s)%2014.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a%20de%20pantalla%202019-08-11%20a%20la(s)%2014.02.14.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652" t="42166" r="29930" b="32844"/>
                    <a:stretch/>
                  </pic:blipFill>
                  <pic:spPr bwMode="auto">
                    <a:xfrm>
                      <a:off x="0" y="0"/>
                      <a:ext cx="3561624" cy="828519"/>
                    </a:xfrm>
                    <a:prstGeom prst="rect">
                      <a:avLst/>
                    </a:prstGeom>
                    <a:noFill/>
                    <a:ln>
                      <a:noFill/>
                    </a:ln>
                    <a:extLst>
                      <a:ext uri="{53640926-AAD7-44D8-BBD7-CCE9431645EC}">
                        <a14:shadowObscured xmlns:a14="http://schemas.microsoft.com/office/drawing/2010/main"/>
                      </a:ext>
                    </a:extLst>
                  </pic:spPr>
                </pic:pic>
              </a:graphicData>
            </a:graphic>
          </wp:inline>
        </w:drawing>
      </w:r>
    </w:p>
    <w:p w14:paraId="1D9FFD86" w14:textId="77777777" w:rsidR="00251E2E" w:rsidRPr="002D6F59" w:rsidRDefault="00251E2E" w:rsidP="005627A0">
      <w:pPr>
        <w:pStyle w:val="Prrafodelista"/>
        <w:spacing w:line="240" w:lineRule="auto"/>
        <w:ind w:left="0"/>
        <w:jc w:val="center"/>
        <w:rPr>
          <w:rFonts w:ascii="Century Gothic" w:hAnsi="Century Gothic" w:cs="Arial"/>
          <w:sz w:val="24"/>
          <w:szCs w:val="24"/>
        </w:rPr>
      </w:pPr>
    </w:p>
    <w:p w14:paraId="01292D11" w14:textId="77777777" w:rsidR="00E16086" w:rsidRPr="002D6F59" w:rsidRDefault="00E16086" w:rsidP="00B17AB2">
      <w:pPr>
        <w:pStyle w:val="Prrafodelista"/>
        <w:numPr>
          <w:ilvl w:val="0"/>
          <w:numId w:val="35"/>
        </w:numPr>
        <w:spacing w:after="0"/>
        <w:jc w:val="both"/>
        <w:rPr>
          <w:rFonts w:ascii="Century Gothic" w:hAnsi="Century Gothic" w:cs="Arial"/>
          <w:sz w:val="24"/>
          <w:szCs w:val="24"/>
        </w:rPr>
      </w:pPr>
      <w:r w:rsidRPr="002D6F59">
        <w:rPr>
          <w:rFonts w:ascii="Century Gothic" w:hAnsi="Century Gothic" w:cs="Arial"/>
          <w:sz w:val="24"/>
          <w:szCs w:val="24"/>
        </w:rPr>
        <w:t>Respecto al lugar de ocurrencia del primer incidente de violencia sexual antes de los 18 años, se evidencia que las viviendas son el lugar más frecuente donde se llevan a cabo estos actos:</w:t>
      </w:r>
    </w:p>
    <w:p w14:paraId="23B2A76A" w14:textId="77777777" w:rsidR="00E16086" w:rsidRPr="002D6F59" w:rsidRDefault="00E16086" w:rsidP="005627A0">
      <w:pPr>
        <w:rPr>
          <w:rFonts w:ascii="Century Gothic" w:hAnsi="Century Gothic" w:cs="Arial"/>
        </w:rPr>
      </w:pPr>
    </w:p>
    <w:p w14:paraId="17CD56DE" w14:textId="77777777" w:rsidR="00E16086" w:rsidRPr="002D6F59" w:rsidRDefault="00E16086" w:rsidP="00B17AB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6E0C1877" wp14:editId="35FC1296">
            <wp:extent cx="5436962" cy="1346479"/>
            <wp:effectExtent l="0" t="0" r="0" b="6350"/>
            <wp:docPr id="9" name="Imagen 9" descr="../Desktop/Captura%20de%20pantalla%202019-08-11%20a%20la(s)%2014.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19-08-11%20a%20la(s)%2014.05.2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152" t="34909" r="26757" b="30880"/>
                    <a:stretch/>
                  </pic:blipFill>
                  <pic:spPr bwMode="auto">
                    <a:xfrm>
                      <a:off x="0" y="0"/>
                      <a:ext cx="5505213" cy="1363382"/>
                    </a:xfrm>
                    <a:prstGeom prst="rect">
                      <a:avLst/>
                    </a:prstGeom>
                    <a:noFill/>
                    <a:ln>
                      <a:noFill/>
                    </a:ln>
                    <a:extLst>
                      <a:ext uri="{53640926-AAD7-44D8-BBD7-CCE9431645EC}">
                        <a14:shadowObscured xmlns:a14="http://schemas.microsoft.com/office/drawing/2010/main"/>
                      </a:ext>
                    </a:extLst>
                  </pic:spPr>
                </pic:pic>
              </a:graphicData>
            </a:graphic>
          </wp:inline>
        </w:drawing>
      </w:r>
    </w:p>
    <w:p w14:paraId="314ACA73" w14:textId="1FCE0ECD" w:rsidR="005627A0" w:rsidRPr="002D6F59" w:rsidRDefault="00E16086" w:rsidP="005627A0">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41AAC099" wp14:editId="5105F1CB">
            <wp:extent cx="5433060" cy="472272"/>
            <wp:effectExtent l="0" t="0" r="0" b="4445"/>
            <wp:docPr id="10" name="Imagen 10" descr="../Desktop/Captura%20de%20pantalla%202019-08-11%20a%20la(s)%2014.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19-08-11%20a%20la(s)%2014.05.2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152" t="76754" r="26757" b="12728"/>
                    <a:stretch/>
                  </pic:blipFill>
                  <pic:spPr bwMode="auto">
                    <a:xfrm>
                      <a:off x="0" y="0"/>
                      <a:ext cx="5465649" cy="475105"/>
                    </a:xfrm>
                    <a:prstGeom prst="rect">
                      <a:avLst/>
                    </a:prstGeom>
                    <a:noFill/>
                    <a:ln>
                      <a:noFill/>
                    </a:ln>
                    <a:extLst>
                      <a:ext uri="{53640926-AAD7-44D8-BBD7-CCE9431645EC}">
                        <a14:shadowObscured xmlns:a14="http://schemas.microsoft.com/office/drawing/2010/main"/>
                      </a:ext>
                    </a:extLst>
                  </pic:spPr>
                </pic:pic>
              </a:graphicData>
            </a:graphic>
          </wp:inline>
        </w:drawing>
      </w:r>
    </w:p>
    <w:p w14:paraId="529E3E54" w14:textId="1C9E4C7B" w:rsidR="00BC121A" w:rsidRPr="002D6F59" w:rsidRDefault="00BC121A" w:rsidP="00B17AB2">
      <w:pPr>
        <w:spacing w:line="276" w:lineRule="auto"/>
        <w:jc w:val="both"/>
        <w:rPr>
          <w:rFonts w:ascii="Century Gothic" w:hAnsi="Century Gothic" w:cs="Arial"/>
        </w:rPr>
      </w:pPr>
      <w:r w:rsidRPr="002D6F59">
        <w:rPr>
          <w:rFonts w:ascii="Century Gothic" w:hAnsi="Century Gothic" w:cs="Arial"/>
          <w:bCs/>
          <w:lang w:val="es-ES"/>
        </w:rPr>
        <w:lastRenderedPageBreak/>
        <w:t xml:space="preserve">A </w:t>
      </w:r>
      <w:r w:rsidR="00251E2E" w:rsidRPr="002D6F59">
        <w:rPr>
          <w:rFonts w:ascii="Century Gothic" w:hAnsi="Century Gothic" w:cs="Arial"/>
          <w:bCs/>
          <w:lang w:val="es-ES"/>
        </w:rPr>
        <w:t>continuación,</w:t>
      </w:r>
      <w:r w:rsidRPr="002D6F59">
        <w:rPr>
          <w:rFonts w:ascii="Century Gothic" w:hAnsi="Century Gothic" w:cs="Arial"/>
          <w:bCs/>
          <w:lang w:val="es-ES"/>
        </w:rPr>
        <w:t xml:space="preserve"> se presentan las cifras de personas privadas de la libertad en calidad de condenadas y sindicadas por delitos que pueden estar relacionados con violencia sexual contra menores en establecimientos de reclusión a cargo del Instituto Nacional Pen</w:t>
      </w:r>
      <w:r w:rsidR="00B17AB2" w:rsidRPr="002D6F59">
        <w:rPr>
          <w:rFonts w:ascii="Century Gothic" w:hAnsi="Century Gothic" w:cs="Arial"/>
          <w:bCs/>
          <w:lang w:val="es-ES"/>
        </w:rPr>
        <w:t>itenciario y Carcelario – INPEC:</w:t>
      </w:r>
    </w:p>
    <w:p w14:paraId="1BC9FEE6" w14:textId="77777777" w:rsidR="00BC121A" w:rsidRPr="002D6F59" w:rsidRDefault="00BC121A" w:rsidP="00B17AB2">
      <w:pPr>
        <w:jc w:val="both"/>
        <w:rPr>
          <w:rFonts w:ascii="Century Gothic" w:hAnsi="Century Gothic" w:cs="Arial"/>
          <w:b/>
          <w:bCs/>
        </w:rPr>
      </w:pPr>
    </w:p>
    <w:tbl>
      <w:tblPr>
        <w:tblW w:w="9776" w:type="dxa"/>
        <w:jc w:val="center"/>
        <w:tblLayout w:type="fixed"/>
        <w:tblCellMar>
          <w:left w:w="70" w:type="dxa"/>
          <w:right w:w="70" w:type="dxa"/>
        </w:tblCellMar>
        <w:tblLook w:val="04A0" w:firstRow="1" w:lastRow="0" w:firstColumn="1" w:lastColumn="0" w:noHBand="0" w:noVBand="1"/>
      </w:tblPr>
      <w:tblGrid>
        <w:gridCol w:w="2423"/>
        <w:gridCol w:w="974"/>
        <w:gridCol w:w="709"/>
        <w:gridCol w:w="992"/>
        <w:gridCol w:w="851"/>
        <w:gridCol w:w="709"/>
        <w:gridCol w:w="992"/>
        <w:gridCol w:w="992"/>
        <w:gridCol w:w="1134"/>
      </w:tblGrid>
      <w:tr w:rsidR="00887542" w:rsidRPr="002D6F59" w14:paraId="7DC71D13" w14:textId="77777777" w:rsidTr="009A4A7E">
        <w:trPr>
          <w:trHeight w:val="523"/>
          <w:jc w:val="center"/>
        </w:trPr>
        <w:tc>
          <w:tcPr>
            <w:tcW w:w="2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F4483FD"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Modalidad Delictiva</w:t>
            </w:r>
          </w:p>
        </w:tc>
        <w:tc>
          <w:tcPr>
            <w:tcW w:w="97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28850DB"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Hombre Cond.</w:t>
            </w:r>
          </w:p>
        </w:tc>
        <w:tc>
          <w:tcPr>
            <w:tcW w:w="709"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292DA7D"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Mujer Cond.</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06D4F436"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Total Cond.</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2A96667"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Hombre Sind.</w:t>
            </w:r>
          </w:p>
        </w:tc>
        <w:tc>
          <w:tcPr>
            <w:tcW w:w="709"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27CA4C65"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Mujer Sindi.</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16E18367"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Total Sind.</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647ACF8C"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Total  Intram.</w:t>
            </w:r>
          </w:p>
        </w:tc>
        <w:tc>
          <w:tcPr>
            <w:tcW w:w="113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679127D"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Particip.  %</w:t>
            </w:r>
          </w:p>
        </w:tc>
      </w:tr>
      <w:tr w:rsidR="00887542" w:rsidRPr="002D6F59" w14:paraId="6B84ACB4" w14:textId="77777777" w:rsidTr="009A4A7E">
        <w:trPr>
          <w:trHeight w:val="484"/>
          <w:jc w:val="center"/>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34FAC"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Actos sexuales con menor de catorce años</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2C04575F"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5.142</w:t>
            </w:r>
          </w:p>
        </w:tc>
        <w:tc>
          <w:tcPr>
            <w:tcW w:w="709" w:type="dxa"/>
            <w:tcBorders>
              <w:top w:val="nil"/>
              <w:left w:val="nil"/>
              <w:bottom w:val="single" w:sz="4" w:space="0" w:color="auto"/>
              <w:right w:val="single" w:sz="4" w:space="0" w:color="auto"/>
            </w:tcBorders>
            <w:shd w:val="clear" w:color="auto" w:fill="auto"/>
            <w:vAlign w:val="center"/>
            <w:hideMark/>
          </w:tcPr>
          <w:p w14:paraId="3D98A1D7"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59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859624"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5.201</w:t>
            </w:r>
          </w:p>
        </w:tc>
        <w:tc>
          <w:tcPr>
            <w:tcW w:w="851" w:type="dxa"/>
            <w:tcBorders>
              <w:top w:val="nil"/>
              <w:left w:val="nil"/>
              <w:bottom w:val="single" w:sz="4" w:space="0" w:color="auto"/>
              <w:right w:val="single" w:sz="4" w:space="0" w:color="auto"/>
            </w:tcBorders>
            <w:shd w:val="clear" w:color="auto" w:fill="auto"/>
            <w:vAlign w:val="center"/>
            <w:hideMark/>
          </w:tcPr>
          <w:p w14:paraId="56DD9F2B"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2.914</w:t>
            </w:r>
          </w:p>
        </w:tc>
        <w:tc>
          <w:tcPr>
            <w:tcW w:w="709" w:type="dxa"/>
            <w:tcBorders>
              <w:top w:val="nil"/>
              <w:left w:val="nil"/>
              <w:bottom w:val="single" w:sz="4" w:space="0" w:color="auto"/>
              <w:right w:val="single" w:sz="4" w:space="0" w:color="auto"/>
            </w:tcBorders>
            <w:shd w:val="clear" w:color="auto" w:fill="auto"/>
            <w:vAlign w:val="center"/>
            <w:hideMark/>
          </w:tcPr>
          <w:p w14:paraId="0F302863"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8A29CB"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2.942</w:t>
            </w:r>
          </w:p>
        </w:tc>
        <w:tc>
          <w:tcPr>
            <w:tcW w:w="992" w:type="dxa"/>
            <w:tcBorders>
              <w:top w:val="nil"/>
              <w:left w:val="nil"/>
              <w:bottom w:val="single" w:sz="4" w:space="0" w:color="auto"/>
              <w:right w:val="single" w:sz="4" w:space="0" w:color="auto"/>
            </w:tcBorders>
            <w:shd w:val="clear" w:color="auto" w:fill="auto"/>
            <w:vAlign w:val="center"/>
            <w:hideMark/>
          </w:tcPr>
          <w:p w14:paraId="607223B1"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8.143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D01A11"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4,2 %</w:t>
            </w:r>
          </w:p>
        </w:tc>
      </w:tr>
      <w:tr w:rsidR="00887542" w:rsidRPr="002D6F59" w14:paraId="21BD7263" w14:textId="77777777" w:rsidTr="009A4A7E">
        <w:trPr>
          <w:trHeight w:val="484"/>
          <w:jc w:val="center"/>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26DE0"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Acceso carnal abusivo con menor de catorce años</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189E0737"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4.323</w:t>
            </w:r>
          </w:p>
        </w:tc>
        <w:tc>
          <w:tcPr>
            <w:tcW w:w="709" w:type="dxa"/>
            <w:tcBorders>
              <w:top w:val="nil"/>
              <w:left w:val="nil"/>
              <w:bottom w:val="single" w:sz="4" w:space="0" w:color="auto"/>
              <w:right w:val="single" w:sz="4" w:space="0" w:color="auto"/>
            </w:tcBorders>
            <w:shd w:val="clear" w:color="auto" w:fill="auto"/>
            <w:vAlign w:val="center"/>
            <w:hideMark/>
          </w:tcPr>
          <w:p w14:paraId="01877E7C"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0C02AF"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4.362</w:t>
            </w:r>
          </w:p>
        </w:tc>
        <w:tc>
          <w:tcPr>
            <w:tcW w:w="851" w:type="dxa"/>
            <w:tcBorders>
              <w:top w:val="nil"/>
              <w:left w:val="nil"/>
              <w:bottom w:val="single" w:sz="4" w:space="0" w:color="auto"/>
              <w:right w:val="single" w:sz="4" w:space="0" w:color="auto"/>
            </w:tcBorders>
            <w:shd w:val="clear" w:color="auto" w:fill="auto"/>
            <w:vAlign w:val="center"/>
            <w:hideMark/>
          </w:tcPr>
          <w:p w14:paraId="55CFD0C9"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2.303</w:t>
            </w:r>
          </w:p>
        </w:tc>
        <w:tc>
          <w:tcPr>
            <w:tcW w:w="709" w:type="dxa"/>
            <w:tcBorders>
              <w:top w:val="nil"/>
              <w:left w:val="nil"/>
              <w:bottom w:val="single" w:sz="4" w:space="0" w:color="auto"/>
              <w:right w:val="single" w:sz="4" w:space="0" w:color="auto"/>
            </w:tcBorders>
            <w:shd w:val="clear" w:color="auto" w:fill="auto"/>
            <w:vAlign w:val="center"/>
            <w:hideMark/>
          </w:tcPr>
          <w:p w14:paraId="208992D4"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D28064"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2.335</w:t>
            </w:r>
          </w:p>
        </w:tc>
        <w:tc>
          <w:tcPr>
            <w:tcW w:w="992" w:type="dxa"/>
            <w:tcBorders>
              <w:top w:val="nil"/>
              <w:left w:val="nil"/>
              <w:bottom w:val="single" w:sz="4" w:space="0" w:color="auto"/>
              <w:right w:val="single" w:sz="4" w:space="0" w:color="auto"/>
            </w:tcBorders>
            <w:shd w:val="clear" w:color="auto" w:fill="auto"/>
            <w:vAlign w:val="center"/>
            <w:hideMark/>
          </w:tcPr>
          <w:p w14:paraId="1E947112"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6.697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C272DE"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3,4 %</w:t>
            </w:r>
          </w:p>
        </w:tc>
      </w:tr>
      <w:tr w:rsidR="00887542" w:rsidRPr="002D6F59" w14:paraId="6632562A" w14:textId="77777777" w:rsidTr="009A4A7E">
        <w:trPr>
          <w:trHeight w:val="711"/>
          <w:jc w:val="center"/>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9FB3B"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Demanda de explotación sexual comercial de persona menor de 18 años de edad</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7487FA45"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98</w:t>
            </w:r>
          </w:p>
        </w:tc>
        <w:tc>
          <w:tcPr>
            <w:tcW w:w="709" w:type="dxa"/>
            <w:tcBorders>
              <w:top w:val="nil"/>
              <w:left w:val="nil"/>
              <w:bottom w:val="single" w:sz="4" w:space="0" w:color="auto"/>
              <w:right w:val="single" w:sz="4" w:space="0" w:color="auto"/>
            </w:tcBorders>
            <w:shd w:val="clear" w:color="auto" w:fill="auto"/>
            <w:vAlign w:val="center"/>
            <w:hideMark/>
          </w:tcPr>
          <w:p w14:paraId="1F992261"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0C899B6"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101</w:t>
            </w:r>
          </w:p>
        </w:tc>
        <w:tc>
          <w:tcPr>
            <w:tcW w:w="851" w:type="dxa"/>
            <w:tcBorders>
              <w:top w:val="nil"/>
              <w:left w:val="nil"/>
              <w:bottom w:val="single" w:sz="4" w:space="0" w:color="auto"/>
              <w:right w:val="single" w:sz="4" w:space="0" w:color="auto"/>
            </w:tcBorders>
            <w:shd w:val="clear" w:color="auto" w:fill="auto"/>
            <w:vAlign w:val="center"/>
            <w:hideMark/>
          </w:tcPr>
          <w:p w14:paraId="3ABDB6FB"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129</w:t>
            </w:r>
          </w:p>
        </w:tc>
        <w:tc>
          <w:tcPr>
            <w:tcW w:w="709" w:type="dxa"/>
            <w:tcBorders>
              <w:top w:val="nil"/>
              <w:left w:val="nil"/>
              <w:bottom w:val="single" w:sz="4" w:space="0" w:color="auto"/>
              <w:right w:val="single" w:sz="4" w:space="0" w:color="auto"/>
            </w:tcBorders>
            <w:shd w:val="clear" w:color="auto" w:fill="auto"/>
            <w:vAlign w:val="center"/>
            <w:hideMark/>
          </w:tcPr>
          <w:p w14:paraId="1B218930"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98AD48"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131</w:t>
            </w:r>
          </w:p>
        </w:tc>
        <w:tc>
          <w:tcPr>
            <w:tcW w:w="992" w:type="dxa"/>
            <w:tcBorders>
              <w:top w:val="nil"/>
              <w:left w:val="nil"/>
              <w:bottom w:val="single" w:sz="4" w:space="0" w:color="auto"/>
              <w:right w:val="single" w:sz="4" w:space="0" w:color="auto"/>
            </w:tcBorders>
            <w:shd w:val="clear" w:color="auto" w:fill="auto"/>
            <w:vAlign w:val="center"/>
            <w:hideMark/>
          </w:tcPr>
          <w:p w14:paraId="2C3CA1DD"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1A54C2"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0,1 %</w:t>
            </w:r>
          </w:p>
        </w:tc>
      </w:tr>
      <w:tr w:rsidR="00887542" w:rsidRPr="002D6F59" w14:paraId="4E07E7EA" w14:textId="77777777" w:rsidTr="009A4A7E">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0723C"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Pornografía con menores de edad</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5BCB2DA1"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120</w:t>
            </w:r>
          </w:p>
        </w:tc>
        <w:tc>
          <w:tcPr>
            <w:tcW w:w="709" w:type="dxa"/>
            <w:tcBorders>
              <w:top w:val="nil"/>
              <w:left w:val="nil"/>
              <w:bottom w:val="single" w:sz="4" w:space="0" w:color="auto"/>
              <w:right w:val="single" w:sz="4" w:space="0" w:color="auto"/>
            </w:tcBorders>
            <w:shd w:val="clear" w:color="auto" w:fill="auto"/>
            <w:vAlign w:val="center"/>
            <w:hideMark/>
          </w:tcPr>
          <w:p w14:paraId="1CA25E6B"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0CFC0D"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133</w:t>
            </w:r>
          </w:p>
        </w:tc>
        <w:tc>
          <w:tcPr>
            <w:tcW w:w="851" w:type="dxa"/>
            <w:tcBorders>
              <w:top w:val="nil"/>
              <w:left w:val="nil"/>
              <w:bottom w:val="single" w:sz="4" w:space="0" w:color="auto"/>
              <w:right w:val="single" w:sz="4" w:space="0" w:color="auto"/>
            </w:tcBorders>
            <w:shd w:val="clear" w:color="auto" w:fill="auto"/>
            <w:vAlign w:val="center"/>
            <w:hideMark/>
          </w:tcPr>
          <w:p w14:paraId="392E35A5"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97</w:t>
            </w:r>
          </w:p>
        </w:tc>
        <w:tc>
          <w:tcPr>
            <w:tcW w:w="709" w:type="dxa"/>
            <w:tcBorders>
              <w:top w:val="nil"/>
              <w:left w:val="nil"/>
              <w:bottom w:val="single" w:sz="4" w:space="0" w:color="auto"/>
              <w:right w:val="single" w:sz="4" w:space="0" w:color="auto"/>
            </w:tcBorders>
            <w:shd w:val="clear" w:color="auto" w:fill="auto"/>
            <w:vAlign w:val="center"/>
            <w:hideMark/>
          </w:tcPr>
          <w:p w14:paraId="3CCCDA40"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DDA4E4"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99</w:t>
            </w:r>
          </w:p>
        </w:tc>
        <w:tc>
          <w:tcPr>
            <w:tcW w:w="992" w:type="dxa"/>
            <w:tcBorders>
              <w:top w:val="nil"/>
              <w:left w:val="nil"/>
              <w:bottom w:val="single" w:sz="4" w:space="0" w:color="auto"/>
              <w:right w:val="single" w:sz="4" w:space="0" w:color="auto"/>
            </w:tcBorders>
            <w:shd w:val="clear" w:color="auto" w:fill="auto"/>
            <w:vAlign w:val="center"/>
            <w:hideMark/>
          </w:tcPr>
          <w:p w14:paraId="670B77EC"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04824F"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0,1 %</w:t>
            </w:r>
          </w:p>
        </w:tc>
      </w:tr>
      <w:tr w:rsidR="00887542" w:rsidRPr="002D6F59" w14:paraId="7406F0A0" w14:textId="77777777" w:rsidTr="009A4A7E">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8E655"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Proxenitismo con menor de edad</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0D891B0E"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28</w:t>
            </w:r>
          </w:p>
        </w:tc>
        <w:tc>
          <w:tcPr>
            <w:tcW w:w="709" w:type="dxa"/>
            <w:tcBorders>
              <w:top w:val="nil"/>
              <w:left w:val="nil"/>
              <w:bottom w:val="single" w:sz="4" w:space="0" w:color="auto"/>
              <w:right w:val="single" w:sz="4" w:space="0" w:color="auto"/>
            </w:tcBorders>
            <w:shd w:val="clear" w:color="auto" w:fill="auto"/>
            <w:vAlign w:val="center"/>
            <w:hideMark/>
          </w:tcPr>
          <w:p w14:paraId="5FDFA932"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6ADD73"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61</w:t>
            </w:r>
          </w:p>
        </w:tc>
        <w:tc>
          <w:tcPr>
            <w:tcW w:w="851" w:type="dxa"/>
            <w:tcBorders>
              <w:top w:val="nil"/>
              <w:left w:val="nil"/>
              <w:bottom w:val="single" w:sz="4" w:space="0" w:color="auto"/>
              <w:right w:val="single" w:sz="4" w:space="0" w:color="auto"/>
            </w:tcBorders>
            <w:shd w:val="clear" w:color="auto" w:fill="auto"/>
            <w:vAlign w:val="center"/>
            <w:hideMark/>
          </w:tcPr>
          <w:p w14:paraId="78BE4909"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27</w:t>
            </w:r>
          </w:p>
        </w:tc>
        <w:tc>
          <w:tcPr>
            <w:tcW w:w="709" w:type="dxa"/>
            <w:tcBorders>
              <w:top w:val="nil"/>
              <w:left w:val="nil"/>
              <w:bottom w:val="single" w:sz="4" w:space="0" w:color="auto"/>
              <w:right w:val="single" w:sz="4" w:space="0" w:color="auto"/>
            </w:tcBorders>
            <w:shd w:val="clear" w:color="auto" w:fill="auto"/>
            <w:vAlign w:val="center"/>
            <w:hideMark/>
          </w:tcPr>
          <w:p w14:paraId="3704CA51"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D25C91"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48</w:t>
            </w:r>
          </w:p>
        </w:tc>
        <w:tc>
          <w:tcPr>
            <w:tcW w:w="992" w:type="dxa"/>
            <w:tcBorders>
              <w:top w:val="nil"/>
              <w:left w:val="nil"/>
              <w:bottom w:val="single" w:sz="4" w:space="0" w:color="auto"/>
              <w:right w:val="single" w:sz="4" w:space="0" w:color="auto"/>
            </w:tcBorders>
            <w:shd w:val="clear" w:color="auto" w:fill="auto"/>
            <w:vAlign w:val="center"/>
            <w:hideMark/>
          </w:tcPr>
          <w:p w14:paraId="1A360A09"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2BA934"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0,1 %</w:t>
            </w:r>
          </w:p>
        </w:tc>
      </w:tr>
      <w:tr w:rsidR="00887542" w:rsidRPr="002D6F59" w14:paraId="61F63646" w14:textId="77777777" w:rsidTr="009A4A7E">
        <w:trPr>
          <w:trHeight w:val="963"/>
          <w:jc w:val="center"/>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A27EE"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Utilización o facilitación de medios de comunicación para ofrecer actividades sexuales con personas menores de 18 años</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3CEAAE67"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23</w:t>
            </w:r>
          </w:p>
        </w:tc>
        <w:tc>
          <w:tcPr>
            <w:tcW w:w="709" w:type="dxa"/>
            <w:tcBorders>
              <w:top w:val="nil"/>
              <w:left w:val="nil"/>
              <w:bottom w:val="single" w:sz="4" w:space="0" w:color="auto"/>
              <w:right w:val="single" w:sz="4" w:space="0" w:color="auto"/>
            </w:tcBorders>
            <w:shd w:val="clear" w:color="auto" w:fill="auto"/>
            <w:vAlign w:val="center"/>
            <w:hideMark/>
          </w:tcPr>
          <w:p w14:paraId="12317033"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AA12A5"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25</w:t>
            </w:r>
          </w:p>
        </w:tc>
        <w:tc>
          <w:tcPr>
            <w:tcW w:w="851" w:type="dxa"/>
            <w:tcBorders>
              <w:top w:val="nil"/>
              <w:left w:val="nil"/>
              <w:bottom w:val="single" w:sz="4" w:space="0" w:color="auto"/>
              <w:right w:val="single" w:sz="4" w:space="0" w:color="auto"/>
            </w:tcBorders>
            <w:shd w:val="clear" w:color="auto" w:fill="auto"/>
            <w:vAlign w:val="center"/>
            <w:hideMark/>
          </w:tcPr>
          <w:p w14:paraId="509A0DAC"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38</w:t>
            </w:r>
          </w:p>
        </w:tc>
        <w:tc>
          <w:tcPr>
            <w:tcW w:w="709" w:type="dxa"/>
            <w:tcBorders>
              <w:top w:val="nil"/>
              <w:left w:val="nil"/>
              <w:bottom w:val="single" w:sz="4" w:space="0" w:color="auto"/>
              <w:right w:val="single" w:sz="4" w:space="0" w:color="auto"/>
            </w:tcBorders>
            <w:shd w:val="clear" w:color="auto" w:fill="auto"/>
            <w:vAlign w:val="center"/>
            <w:hideMark/>
          </w:tcPr>
          <w:p w14:paraId="410B4F22"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E7A869"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38</w:t>
            </w:r>
          </w:p>
        </w:tc>
        <w:tc>
          <w:tcPr>
            <w:tcW w:w="992" w:type="dxa"/>
            <w:tcBorders>
              <w:top w:val="nil"/>
              <w:left w:val="nil"/>
              <w:bottom w:val="single" w:sz="4" w:space="0" w:color="auto"/>
              <w:right w:val="single" w:sz="4" w:space="0" w:color="auto"/>
            </w:tcBorders>
            <w:shd w:val="clear" w:color="auto" w:fill="auto"/>
            <w:vAlign w:val="center"/>
            <w:hideMark/>
          </w:tcPr>
          <w:p w14:paraId="7734B4E9"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63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0D36A5"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0,0 %</w:t>
            </w:r>
          </w:p>
        </w:tc>
      </w:tr>
      <w:tr w:rsidR="00887542" w:rsidRPr="002D6F59" w14:paraId="75F3BA70" w14:textId="77777777" w:rsidTr="009A4A7E">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D0F92"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Estímulo a la prostitución de menores de edad</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679B1C58"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20</w:t>
            </w:r>
          </w:p>
        </w:tc>
        <w:tc>
          <w:tcPr>
            <w:tcW w:w="709" w:type="dxa"/>
            <w:tcBorders>
              <w:top w:val="nil"/>
              <w:left w:val="nil"/>
              <w:bottom w:val="single" w:sz="4" w:space="0" w:color="auto"/>
              <w:right w:val="single" w:sz="4" w:space="0" w:color="auto"/>
            </w:tcBorders>
            <w:shd w:val="clear" w:color="auto" w:fill="auto"/>
            <w:vAlign w:val="center"/>
            <w:hideMark/>
          </w:tcPr>
          <w:p w14:paraId="449B40AC"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0CE51F"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28</w:t>
            </w:r>
          </w:p>
        </w:tc>
        <w:tc>
          <w:tcPr>
            <w:tcW w:w="851" w:type="dxa"/>
            <w:tcBorders>
              <w:top w:val="nil"/>
              <w:left w:val="nil"/>
              <w:bottom w:val="single" w:sz="4" w:space="0" w:color="auto"/>
              <w:right w:val="single" w:sz="4" w:space="0" w:color="auto"/>
            </w:tcBorders>
            <w:shd w:val="clear" w:color="auto" w:fill="auto"/>
            <w:vAlign w:val="center"/>
            <w:hideMark/>
          </w:tcPr>
          <w:p w14:paraId="70BE998B"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9</w:t>
            </w:r>
          </w:p>
        </w:tc>
        <w:tc>
          <w:tcPr>
            <w:tcW w:w="709" w:type="dxa"/>
            <w:tcBorders>
              <w:top w:val="nil"/>
              <w:left w:val="nil"/>
              <w:bottom w:val="single" w:sz="4" w:space="0" w:color="auto"/>
              <w:right w:val="single" w:sz="4" w:space="0" w:color="auto"/>
            </w:tcBorders>
            <w:shd w:val="clear" w:color="auto" w:fill="auto"/>
            <w:vAlign w:val="center"/>
            <w:hideMark/>
          </w:tcPr>
          <w:p w14:paraId="5B156E0B"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02B8246"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11</w:t>
            </w:r>
          </w:p>
        </w:tc>
        <w:tc>
          <w:tcPr>
            <w:tcW w:w="992" w:type="dxa"/>
            <w:tcBorders>
              <w:top w:val="nil"/>
              <w:left w:val="nil"/>
              <w:bottom w:val="single" w:sz="4" w:space="0" w:color="auto"/>
              <w:right w:val="single" w:sz="4" w:space="0" w:color="auto"/>
            </w:tcBorders>
            <w:shd w:val="clear" w:color="auto" w:fill="auto"/>
            <w:vAlign w:val="center"/>
            <w:hideMark/>
          </w:tcPr>
          <w:p w14:paraId="00318EF3"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45B9C0" w14:textId="7777777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0,0 %</w:t>
            </w:r>
          </w:p>
        </w:tc>
      </w:tr>
      <w:tr w:rsidR="00887542" w:rsidRPr="002D6F59" w14:paraId="1A3E6AEA" w14:textId="77777777" w:rsidTr="009A4A7E">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244520B"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Total delitos seleccionados</w:t>
            </w:r>
          </w:p>
        </w:tc>
        <w:tc>
          <w:tcPr>
            <w:tcW w:w="97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20C21D3"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9.754</w:t>
            </w:r>
          </w:p>
        </w:tc>
        <w:tc>
          <w:tcPr>
            <w:tcW w:w="709" w:type="dxa"/>
            <w:tcBorders>
              <w:top w:val="nil"/>
              <w:left w:val="nil"/>
              <w:bottom w:val="single" w:sz="4" w:space="0" w:color="auto"/>
              <w:right w:val="single" w:sz="4" w:space="0" w:color="auto"/>
            </w:tcBorders>
            <w:shd w:val="clear" w:color="auto" w:fill="E5B8B7" w:themeFill="accent2" w:themeFillTint="66"/>
            <w:vAlign w:val="center"/>
            <w:hideMark/>
          </w:tcPr>
          <w:p w14:paraId="167A6D7A"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157</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1C6A248"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9.911</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6C4C9080"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5.517</w:t>
            </w:r>
          </w:p>
        </w:tc>
        <w:tc>
          <w:tcPr>
            <w:tcW w:w="709" w:type="dxa"/>
            <w:tcBorders>
              <w:top w:val="nil"/>
              <w:left w:val="nil"/>
              <w:bottom w:val="single" w:sz="4" w:space="0" w:color="auto"/>
              <w:right w:val="single" w:sz="4" w:space="0" w:color="auto"/>
            </w:tcBorders>
            <w:shd w:val="clear" w:color="auto" w:fill="E5B8B7" w:themeFill="accent2" w:themeFillTint="66"/>
            <w:vAlign w:val="center"/>
            <w:hideMark/>
          </w:tcPr>
          <w:p w14:paraId="50507184"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87</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91FA7E6"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5.604</w:t>
            </w:r>
          </w:p>
        </w:tc>
        <w:tc>
          <w:tcPr>
            <w:tcW w:w="992" w:type="dxa"/>
            <w:tcBorders>
              <w:top w:val="nil"/>
              <w:left w:val="nil"/>
              <w:bottom w:val="single" w:sz="4" w:space="0" w:color="auto"/>
              <w:right w:val="single" w:sz="4" w:space="0" w:color="auto"/>
            </w:tcBorders>
            <w:shd w:val="clear" w:color="auto" w:fill="E5B8B7" w:themeFill="accent2" w:themeFillTint="66"/>
            <w:vAlign w:val="center"/>
            <w:hideMark/>
          </w:tcPr>
          <w:p w14:paraId="0E78FF52"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15.515</w:t>
            </w:r>
          </w:p>
        </w:tc>
        <w:tc>
          <w:tcPr>
            <w:tcW w:w="113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2E79B52" w14:textId="098C3B2C" w:rsidR="00BC121A" w:rsidRPr="002D6F59" w:rsidRDefault="00887542"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8</w:t>
            </w:r>
            <w:r w:rsidR="00BC121A" w:rsidRPr="002D6F59">
              <w:rPr>
                <w:rFonts w:ascii="Century Gothic" w:hAnsi="Century Gothic" w:cs="Arial"/>
                <w:b/>
                <w:bCs/>
                <w:sz w:val="22"/>
                <w:szCs w:val="22"/>
                <w:lang w:val="es-CO"/>
              </w:rPr>
              <w:t>%</w:t>
            </w:r>
          </w:p>
        </w:tc>
      </w:tr>
      <w:tr w:rsidR="00887542" w:rsidRPr="002D6F59" w14:paraId="47FE523D" w14:textId="77777777" w:rsidTr="009A4A7E">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798497B"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Total delitos</w:t>
            </w:r>
          </w:p>
        </w:tc>
        <w:tc>
          <w:tcPr>
            <w:tcW w:w="97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847CF8B"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119.898</w:t>
            </w:r>
          </w:p>
        </w:tc>
        <w:tc>
          <w:tcPr>
            <w:tcW w:w="709" w:type="dxa"/>
            <w:tcBorders>
              <w:top w:val="nil"/>
              <w:left w:val="nil"/>
              <w:bottom w:val="single" w:sz="4" w:space="0" w:color="auto"/>
              <w:right w:val="single" w:sz="4" w:space="0" w:color="auto"/>
            </w:tcBorders>
            <w:shd w:val="clear" w:color="auto" w:fill="E5B8B7" w:themeFill="accent2" w:themeFillTint="66"/>
            <w:vAlign w:val="center"/>
            <w:hideMark/>
          </w:tcPr>
          <w:p w14:paraId="55F1FBDC"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8.514</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F580422"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128.412</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2EA364B2"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60.349</w:t>
            </w:r>
          </w:p>
        </w:tc>
        <w:tc>
          <w:tcPr>
            <w:tcW w:w="709" w:type="dxa"/>
            <w:tcBorders>
              <w:top w:val="nil"/>
              <w:left w:val="nil"/>
              <w:bottom w:val="single" w:sz="4" w:space="0" w:color="auto"/>
              <w:right w:val="single" w:sz="4" w:space="0" w:color="auto"/>
            </w:tcBorders>
            <w:shd w:val="clear" w:color="auto" w:fill="E5B8B7" w:themeFill="accent2" w:themeFillTint="66"/>
            <w:vAlign w:val="center"/>
            <w:hideMark/>
          </w:tcPr>
          <w:p w14:paraId="4D5ABA0F"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5.431</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2CA0B089"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65.780</w:t>
            </w:r>
          </w:p>
        </w:tc>
        <w:tc>
          <w:tcPr>
            <w:tcW w:w="992" w:type="dxa"/>
            <w:tcBorders>
              <w:top w:val="nil"/>
              <w:left w:val="nil"/>
              <w:bottom w:val="single" w:sz="4" w:space="0" w:color="auto"/>
              <w:right w:val="single" w:sz="4" w:space="0" w:color="auto"/>
            </w:tcBorders>
            <w:shd w:val="clear" w:color="auto" w:fill="E5B8B7" w:themeFill="accent2" w:themeFillTint="66"/>
            <w:vAlign w:val="center"/>
            <w:hideMark/>
          </w:tcPr>
          <w:p w14:paraId="2BA13E81"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194.192</w:t>
            </w:r>
          </w:p>
        </w:tc>
        <w:tc>
          <w:tcPr>
            <w:tcW w:w="113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63E7A052"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100 %</w:t>
            </w:r>
          </w:p>
        </w:tc>
      </w:tr>
    </w:tbl>
    <w:p w14:paraId="2E272BF7" w14:textId="77205723" w:rsidR="00BC121A" w:rsidRPr="005627A0" w:rsidRDefault="00BC121A" w:rsidP="005627A0">
      <w:pPr>
        <w:spacing w:line="276" w:lineRule="auto"/>
        <w:jc w:val="both"/>
        <w:rPr>
          <w:rFonts w:ascii="Century Gothic" w:hAnsi="Century Gothic" w:cs="Arial"/>
          <w:sz w:val="18"/>
          <w:szCs w:val="18"/>
          <w:lang w:val="es-ES"/>
        </w:rPr>
      </w:pPr>
      <w:r w:rsidRPr="002D6F59">
        <w:rPr>
          <w:rFonts w:ascii="Century Gothic" w:hAnsi="Century Gothic" w:cs="Arial"/>
          <w:b/>
          <w:sz w:val="18"/>
          <w:szCs w:val="18"/>
          <w:lang w:val="es-ES"/>
        </w:rPr>
        <w:t>Tabla 1:</w:t>
      </w:r>
      <w:r w:rsidRPr="002D6F59">
        <w:rPr>
          <w:rFonts w:ascii="Century Gothic" w:hAnsi="Century Gothic" w:cs="Arial"/>
          <w:sz w:val="18"/>
          <w:szCs w:val="18"/>
          <w:lang w:val="es-ES"/>
        </w:rPr>
        <w:t xml:space="preserve"> PPL sindicados y condenados por delitos relacionados con violencia sexual contra menores en establecimientos de reclusión a cargo de INPEC. Elaboración: OPC. Fuente: Tableros estadísticos - INPEC. Fecha: 12 de julio 2019.</w:t>
      </w:r>
    </w:p>
    <w:p w14:paraId="2FCE6D4A" w14:textId="4C64F213" w:rsidR="00BC121A" w:rsidRPr="002D6F59" w:rsidRDefault="00BC121A" w:rsidP="00B17AB2">
      <w:pPr>
        <w:spacing w:line="276" w:lineRule="auto"/>
        <w:jc w:val="both"/>
        <w:rPr>
          <w:rFonts w:ascii="Century Gothic" w:hAnsi="Century Gothic" w:cs="Arial"/>
          <w:lang w:val="es-ES"/>
        </w:rPr>
      </w:pPr>
      <w:r w:rsidRPr="002D6F59">
        <w:rPr>
          <w:rFonts w:ascii="Century Gothic" w:hAnsi="Century Gothic" w:cs="Arial"/>
          <w:lang w:val="es-ES"/>
        </w:rPr>
        <w:lastRenderedPageBreak/>
        <w:t>En relación con el número de noticia</w:t>
      </w:r>
      <w:r w:rsidR="00887542" w:rsidRPr="002D6F59">
        <w:rPr>
          <w:rFonts w:ascii="Century Gothic" w:hAnsi="Century Gothic" w:cs="Arial"/>
          <w:lang w:val="es-ES"/>
        </w:rPr>
        <w:t xml:space="preserve">s criminales de los delitos </w:t>
      </w:r>
      <w:r w:rsidRPr="002D6F59">
        <w:rPr>
          <w:rFonts w:ascii="Century Gothic" w:hAnsi="Century Gothic" w:cs="Arial"/>
          <w:lang w:val="es-ES"/>
        </w:rPr>
        <w:t xml:space="preserve">relacionados con violencia sexual contra menores, se evidencia que en los últimos cinco años se ha presentado una tendencia en aumento en el número de noticias criminales (2.186 en promedio). </w:t>
      </w:r>
    </w:p>
    <w:p w14:paraId="1D437019" w14:textId="77777777" w:rsidR="00BC121A" w:rsidRPr="002D6F59" w:rsidRDefault="00BC121A" w:rsidP="00B17AB2">
      <w:pPr>
        <w:jc w:val="both"/>
        <w:rPr>
          <w:rFonts w:ascii="Century Gothic" w:hAnsi="Century Gothic" w:cs="Arial"/>
          <w:b/>
          <w:bCs/>
          <w:lang w:val="es-ES"/>
        </w:rPr>
      </w:pPr>
    </w:p>
    <w:tbl>
      <w:tblP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2"/>
        <w:gridCol w:w="1126"/>
        <w:gridCol w:w="1126"/>
        <w:gridCol w:w="1126"/>
        <w:gridCol w:w="1126"/>
        <w:gridCol w:w="1126"/>
      </w:tblGrid>
      <w:tr w:rsidR="00BC121A" w:rsidRPr="002D6F59" w14:paraId="739F4EDD" w14:textId="77777777" w:rsidTr="00BC121A">
        <w:trPr>
          <w:trHeight w:val="351"/>
          <w:tblHeader/>
          <w:jc w:val="center"/>
        </w:trPr>
        <w:tc>
          <w:tcPr>
            <w:tcW w:w="2512" w:type="dxa"/>
            <w:vMerge w:val="restart"/>
            <w:shd w:val="clear" w:color="auto" w:fill="9CC2E5"/>
            <w:noWrap/>
            <w:vAlign w:val="center"/>
            <w:hideMark/>
          </w:tcPr>
          <w:p w14:paraId="3F303C1C"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Delito</w:t>
            </w:r>
          </w:p>
        </w:tc>
        <w:tc>
          <w:tcPr>
            <w:tcW w:w="5600" w:type="dxa"/>
            <w:gridSpan w:val="5"/>
            <w:shd w:val="clear" w:color="auto" w:fill="9CC2E5"/>
            <w:vAlign w:val="center"/>
          </w:tcPr>
          <w:p w14:paraId="387ECD86"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Noticias Criminales Nacional</w:t>
            </w:r>
          </w:p>
        </w:tc>
      </w:tr>
      <w:tr w:rsidR="00BC121A" w:rsidRPr="002D6F59" w14:paraId="55FD2769" w14:textId="77777777" w:rsidTr="00BC121A">
        <w:trPr>
          <w:trHeight w:val="351"/>
          <w:tblHeader/>
          <w:jc w:val="center"/>
        </w:trPr>
        <w:tc>
          <w:tcPr>
            <w:tcW w:w="2512" w:type="dxa"/>
            <w:vMerge/>
            <w:shd w:val="clear" w:color="auto" w:fill="9CC2E5"/>
            <w:noWrap/>
          </w:tcPr>
          <w:p w14:paraId="41A17589" w14:textId="77777777" w:rsidR="00BC121A" w:rsidRPr="002D6F59" w:rsidRDefault="00BC121A" w:rsidP="00B17AB2">
            <w:pPr>
              <w:spacing w:line="276" w:lineRule="auto"/>
              <w:jc w:val="center"/>
              <w:rPr>
                <w:rFonts w:ascii="Century Gothic" w:hAnsi="Century Gothic" w:cs="Arial"/>
                <w:b/>
                <w:bCs/>
                <w:sz w:val="22"/>
                <w:szCs w:val="22"/>
              </w:rPr>
            </w:pPr>
          </w:p>
        </w:tc>
        <w:tc>
          <w:tcPr>
            <w:tcW w:w="1120" w:type="dxa"/>
            <w:shd w:val="clear" w:color="auto" w:fill="9CC2E5"/>
            <w:vAlign w:val="center"/>
          </w:tcPr>
          <w:p w14:paraId="6A26EF58"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2014</w:t>
            </w:r>
          </w:p>
        </w:tc>
        <w:tc>
          <w:tcPr>
            <w:tcW w:w="1120" w:type="dxa"/>
            <w:shd w:val="clear" w:color="auto" w:fill="9CC2E5"/>
            <w:vAlign w:val="center"/>
          </w:tcPr>
          <w:p w14:paraId="72B8F65B"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2015</w:t>
            </w:r>
          </w:p>
        </w:tc>
        <w:tc>
          <w:tcPr>
            <w:tcW w:w="1120" w:type="dxa"/>
            <w:shd w:val="clear" w:color="auto" w:fill="9CC2E5"/>
            <w:vAlign w:val="center"/>
          </w:tcPr>
          <w:p w14:paraId="3CCFF6C5"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2016</w:t>
            </w:r>
          </w:p>
        </w:tc>
        <w:tc>
          <w:tcPr>
            <w:tcW w:w="1120" w:type="dxa"/>
            <w:shd w:val="clear" w:color="auto" w:fill="9CC2E5"/>
            <w:vAlign w:val="center"/>
          </w:tcPr>
          <w:p w14:paraId="113ACB32"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2017</w:t>
            </w:r>
          </w:p>
        </w:tc>
        <w:tc>
          <w:tcPr>
            <w:tcW w:w="1120" w:type="dxa"/>
            <w:shd w:val="clear" w:color="auto" w:fill="9CC2E5"/>
            <w:vAlign w:val="center"/>
          </w:tcPr>
          <w:p w14:paraId="1791F8A9"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2018</w:t>
            </w:r>
          </w:p>
        </w:tc>
      </w:tr>
      <w:tr w:rsidR="00BC121A" w:rsidRPr="002D6F59" w14:paraId="1E565F4E" w14:textId="77777777" w:rsidTr="00BC121A">
        <w:trPr>
          <w:trHeight w:val="70"/>
          <w:jc w:val="center"/>
        </w:trPr>
        <w:tc>
          <w:tcPr>
            <w:tcW w:w="2512" w:type="dxa"/>
            <w:shd w:val="clear" w:color="auto" w:fill="auto"/>
            <w:noWrap/>
          </w:tcPr>
          <w:p w14:paraId="6BDDD3F0" w14:textId="57A798D8" w:rsidR="00BC121A" w:rsidRPr="002D6F59" w:rsidRDefault="00BC121A" w:rsidP="00B17AB2">
            <w:pPr>
              <w:spacing w:line="276" w:lineRule="auto"/>
              <w:jc w:val="center"/>
              <w:rPr>
                <w:rFonts w:ascii="Century Gothic" w:hAnsi="Century Gothic" w:cs="Arial"/>
                <w:sz w:val="22"/>
                <w:szCs w:val="22"/>
              </w:rPr>
            </w:pPr>
            <w:bookmarkStart w:id="0" w:name="m_5496749265742339522_208"/>
            <w:r w:rsidRPr="002D6F59">
              <w:rPr>
                <w:rFonts w:ascii="Century Gothic" w:hAnsi="Century Gothic" w:cs="Arial"/>
                <w:sz w:val="22"/>
                <w:szCs w:val="22"/>
              </w:rPr>
              <w:t>Artículo 208. Acceso carnal abusivo con menor de catorce años.</w:t>
            </w:r>
            <w:bookmarkEnd w:id="0"/>
          </w:p>
        </w:tc>
        <w:tc>
          <w:tcPr>
            <w:tcW w:w="1120" w:type="dxa"/>
            <w:vAlign w:val="center"/>
          </w:tcPr>
          <w:p w14:paraId="38189480"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9.396</w:t>
            </w:r>
          </w:p>
        </w:tc>
        <w:tc>
          <w:tcPr>
            <w:tcW w:w="1120" w:type="dxa"/>
            <w:vAlign w:val="center"/>
          </w:tcPr>
          <w:p w14:paraId="2205C526"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9.626</w:t>
            </w:r>
          </w:p>
        </w:tc>
        <w:tc>
          <w:tcPr>
            <w:tcW w:w="1120" w:type="dxa"/>
            <w:vAlign w:val="center"/>
          </w:tcPr>
          <w:p w14:paraId="526903B1"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9.794</w:t>
            </w:r>
          </w:p>
        </w:tc>
        <w:tc>
          <w:tcPr>
            <w:tcW w:w="1120" w:type="dxa"/>
            <w:vAlign w:val="center"/>
          </w:tcPr>
          <w:p w14:paraId="21BF82AE"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11.364</w:t>
            </w:r>
          </w:p>
        </w:tc>
        <w:tc>
          <w:tcPr>
            <w:tcW w:w="1120" w:type="dxa"/>
            <w:vAlign w:val="center"/>
          </w:tcPr>
          <w:p w14:paraId="4B051DD5"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11.513</w:t>
            </w:r>
          </w:p>
        </w:tc>
      </w:tr>
      <w:tr w:rsidR="00BC121A" w:rsidRPr="002D6F59" w14:paraId="48EC2274" w14:textId="77777777" w:rsidTr="00BC121A">
        <w:trPr>
          <w:trHeight w:val="351"/>
          <w:jc w:val="center"/>
        </w:trPr>
        <w:tc>
          <w:tcPr>
            <w:tcW w:w="2512" w:type="dxa"/>
            <w:shd w:val="clear" w:color="auto" w:fill="auto"/>
            <w:noWrap/>
          </w:tcPr>
          <w:p w14:paraId="7292EE87" w14:textId="77777777" w:rsidR="00BC121A" w:rsidRPr="002D6F59" w:rsidRDefault="00BC121A" w:rsidP="00B17AB2">
            <w:pPr>
              <w:spacing w:line="276" w:lineRule="auto"/>
              <w:jc w:val="center"/>
              <w:rPr>
                <w:rFonts w:ascii="Century Gothic" w:hAnsi="Century Gothic" w:cs="Arial"/>
                <w:sz w:val="22"/>
                <w:szCs w:val="22"/>
              </w:rPr>
            </w:pPr>
            <w:bookmarkStart w:id="1" w:name="m_5496749265742339522_209"/>
            <w:r w:rsidRPr="002D6F59">
              <w:rPr>
                <w:rFonts w:ascii="Century Gothic" w:hAnsi="Century Gothic" w:cs="Arial"/>
                <w:sz w:val="22"/>
                <w:szCs w:val="22"/>
              </w:rPr>
              <w:t>Artículo 209. Actos sexuales con menor de catorce años.</w:t>
            </w:r>
            <w:bookmarkEnd w:id="1"/>
          </w:p>
        </w:tc>
        <w:tc>
          <w:tcPr>
            <w:tcW w:w="1120" w:type="dxa"/>
            <w:vAlign w:val="center"/>
          </w:tcPr>
          <w:p w14:paraId="09D59DEB"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1.333</w:t>
            </w:r>
          </w:p>
        </w:tc>
        <w:tc>
          <w:tcPr>
            <w:tcW w:w="1120" w:type="dxa"/>
            <w:vAlign w:val="center"/>
          </w:tcPr>
          <w:p w14:paraId="6317F0FF" w14:textId="77777777" w:rsidR="00BC121A" w:rsidRPr="002D6F59" w:rsidRDefault="00BC121A" w:rsidP="00B17AB2">
            <w:pPr>
              <w:spacing w:line="276" w:lineRule="auto"/>
              <w:jc w:val="center"/>
              <w:rPr>
                <w:rFonts w:ascii="Century Gothic" w:hAnsi="Century Gothic" w:cs="Arial"/>
                <w:sz w:val="22"/>
                <w:szCs w:val="22"/>
              </w:rPr>
            </w:pPr>
          </w:p>
          <w:p w14:paraId="2885626C"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1.233</w:t>
            </w:r>
          </w:p>
        </w:tc>
        <w:tc>
          <w:tcPr>
            <w:tcW w:w="1120" w:type="dxa"/>
            <w:vAlign w:val="center"/>
          </w:tcPr>
          <w:p w14:paraId="201D7F69"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1.266</w:t>
            </w:r>
          </w:p>
        </w:tc>
        <w:tc>
          <w:tcPr>
            <w:tcW w:w="1120" w:type="dxa"/>
            <w:vAlign w:val="center"/>
          </w:tcPr>
          <w:p w14:paraId="26AD9F23"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1.744</w:t>
            </w:r>
          </w:p>
        </w:tc>
        <w:tc>
          <w:tcPr>
            <w:tcW w:w="1120" w:type="dxa"/>
            <w:vAlign w:val="center"/>
          </w:tcPr>
          <w:p w14:paraId="6DBEB9D5"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2.291</w:t>
            </w:r>
          </w:p>
        </w:tc>
      </w:tr>
      <w:tr w:rsidR="00BC121A" w:rsidRPr="002D6F59" w14:paraId="2F64B7B5" w14:textId="77777777" w:rsidTr="00BC121A">
        <w:trPr>
          <w:trHeight w:val="351"/>
          <w:jc w:val="center"/>
        </w:trPr>
        <w:tc>
          <w:tcPr>
            <w:tcW w:w="2512" w:type="dxa"/>
            <w:shd w:val="clear" w:color="auto" w:fill="auto"/>
            <w:noWrap/>
          </w:tcPr>
          <w:p w14:paraId="25F2A292" w14:textId="539F7D6B" w:rsidR="00BC121A" w:rsidRPr="002D6F59" w:rsidRDefault="00BC121A" w:rsidP="00B17AB2">
            <w:pPr>
              <w:spacing w:line="276" w:lineRule="auto"/>
              <w:jc w:val="center"/>
              <w:rPr>
                <w:rFonts w:ascii="Century Gothic" w:hAnsi="Century Gothic" w:cs="Arial"/>
                <w:sz w:val="22"/>
                <w:szCs w:val="22"/>
              </w:rPr>
            </w:pPr>
            <w:bookmarkStart w:id="2" w:name="m_5496749265742339522_213-A"/>
            <w:r w:rsidRPr="002D6F59">
              <w:rPr>
                <w:rFonts w:ascii="Century Gothic" w:hAnsi="Century Gothic" w:cs="Arial"/>
                <w:iCs/>
                <w:sz w:val="22"/>
                <w:szCs w:val="22"/>
              </w:rPr>
              <w:t>Artículo 213-a. Proxenetismo con menor de edad.</w:t>
            </w:r>
            <w:bookmarkEnd w:id="2"/>
          </w:p>
        </w:tc>
        <w:tc>
          <w:tcPr>
            <w:tcW w:w="1120" w:type="dxa"/>
            <w:vAlign w:val="center"/>
          </w:tcPr>
          <w:p w14:paraId="68537A20"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22</w:t>
            </w:r>
          </w:p>
        </w:tc>
        <w:tc>
          <w:tcPr>
            <w:tcW w:w="1120" w:type="dxa"/>
            <w:vAlign w:val="center"/>
          </w:tcPr>
          <w:p w14:paraId="65811B94"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16</w:t>
            </w:r>
          </w:p>
        </w:tc>
        <w:tc>
          <w:tcPr>
            <w:tcW w:w="1120" w:type="dxa"/>
            <w:vAlign w:val="center"/>
          </w:tcPr>
          <w:p w14:paraId="250BE392"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29</w:t>
            </w:r>
          </w:p>
        </w:tc>
        <w:tc>
          <w:tcPr>
            <w:tcW w:w="1120" w:type="dxa"/>
            <w:vAlign w:val="center"/>
          </w:tcPr>
          <w:p w14:paraId="5426139B"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25</w:t>
            </w:r>
          </w:p>
        </w:tc>
        <w:tc>
          <w:tcPr>
            <w:tcW w:w="1120" w:type="dxa"/>
            <w:vAlign w:val="center"/>
          </w:tcPr>
          <w:p w14:paraId="53CB0AA8"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28</w:t>
            </w:r>
          </w:p>
        </w:tc>
      </w:tr>
      <w:tr w:rsidR="00BC121A" w:rsidRPr="002D6F59" w14:paraId="1B2D1FFA" w14:textId="77777777" w:rsidTr="00BC121A">
        <w:trPr>
          <w:trHeight w:val="351"/>
          <w:jc w:val="center"/>
        </w:trPr>
        <w:tc>
          <w:tcPr>
            <w:tcW w:w="2512" w:type="dxa"/>
            <w:shd w:val="clear" w:color="auto" w:fill="auto"/>
            <w:noWrap/>
          </w:tcPr>
          <w:p w14:paraId="45E86B14" w14:textId="289B61BE" w:rsidR="00BC121A" w:rsidRPr="002D6F59" w:rsidRDefault="00BC121A" w:rsidP="00B17AB2">
            <w:pPr>
              <w:spacing w:line="276" w:lineRule="auto"/>
              <w:jc w:val="center"/>
              <w:rPr>
                <w:rFonts w:ascii="Century Gothic" w:hAnsi="Century Gothic" w:cs="Arial"/>
                <w:sz w:val="22"/>
                <w:szCs w:val="22"/>
              </w:rPr>
            </w:pPr>
            <w:bookmarkStart w:id="3" w:name="m_5496749265742339522_217"/>
            <w:r w:rsidRPr="002D6F59">
              <w:rPr>
                <w:rFonts w:ascii="Century Gothic" w:hAnsi="Century Gothic" w:cs="Arial"/>
                <w:sz w:val="22"/>
                <w:szCs w:val="22"/>
              </w:rPr>
              <w:t>Artículo 217. Estímulo a la prostitución de menores.</w:t>
            </w:r>
            <w:bookmarkEnd w:id="3"/>
          </w:p>
        </w:tc>
        <w:tc>
          <w:tcPr>
            <w:tcW w:w="1120" w:type="dxa"/>
            <w:vAlign w:val="center"/>
          </w:tcPr>
          <w:p w14:paraId="0060AD52"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21</w:t>
            </w:r>
          </w:p>
        </w:tc>
        <w:tc>
          <w:tcPr>
            <w:tcW w:w="1120" w:type="dxa"/>
            <w:vAlign w:val="center"/>
          </w:tcPr>
          <w:p w14:paraId="17E5C81B"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30</w:t>
            </w:r>
          </w:p>
        </w:tc>
        <w:tc>
          <w:tcPr>
            <w:tcW w:w="1120" w:type="dxa"/>
            <w:vAlign w:val="center"/>
          </w:tcPr>
          <w:p w14:paraId="653A78D1"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19</w:t>
            </w:r>
          </w:p>
        </w:tc>
        <w:tc>
          <w:tcPr>
            <w:tcW w:w="1120" w:type="dxa"/>
            <w:vAlign w:val="center"/>
          </w:tcPr>
          <w:p w14:paraId="0F39DD4D"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30</w:t>
            </w:r>
          </w:p>
        </w:tc>
        <w:tc>
          <w:tcPr>
            <w:tcW w:w="1120" w:type="dxa"/>
            <w:vAlign w:val="center"/>
          </w:tcPr>
          <w:p w14:paraId="39EB83D4"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25</w:t>
            </w:r>
          </w:p>
        </w:tc>
      </w:tr>
      <w:tr w:rsidR="00BC121A" w:rsidRPr="002D6F59" w14:paraId="6AE2EFD2" w14:textId="77777777" w:rsidTr="00BC121A">
        <w:trPr>
          <w:trHeight w:val="525"/>
          <w:jc w:val="center"/>
        </w:trPr>
        <w:tc>
          <w:tcPr>
            <w:tcW w:w="2512" w:type="dxa"/>
            <w:shd w:val="clear" w:color="auto" w:fill="auto"/>
            <w:noWrap/>
          </w:tcPr>
          <w:p w14:paraId="2D3089FF" w14:textId="77777777" w:rsidR="00BC121A" w:rsidRPr="002D6F59" w:rsidRDefault="00BC121A" w:rsidP="00B17AB2">
            <w:pPr>
              <w:spacing w:line="276" w:lineRule="auto"/>
              <w:jc w:val="center"/>
              <w:rPr>
                <w:rFonts w:ascii="Century Gothic" w:hAnsi="Century Gothic" w:cs="Arial"/>
                <w:sz w:val="22"/>
                <w:szCs w:val="22"/>
              </w:rPr>
            </w:pPr>
            <w:bookmarkStart w:id="4" w:name="m_5496749265742339522_217-A"/>
            <w:r w:rsidRPr="002D6F59">
              <w:rPr>
                <w:rFonts w:ascii="Century Gothic" w:hAnsi="Century Gothic" w:cs="Arial"/>
                <w:sz w:val="22"/>
                <w:szCs w:val="22"/>
              </w:rPr>
              <w:t>Artículo 217-a. </w:t>
            </w:r>
            <w:r w:rsidRPr="002D6F59">
              <w:rPr>
                <w:rFonts w:ascii="Century Gothic" w:hAnsi="Century Gothic" w:cs="Arial"/>
                <w:iCs/>
                <w:sz w:val="22"/>
                <w:szCs w:val="22"/>
              </w:rPr>
              <w:t>Demanda de explotación sexual comercial de persona menor de 18 años de edad</w:t>
            </w:r>
            <w:bookmarkEnd w:id="4"/>
          </w:p>
        </w:tc>
        <w:tc>
          <w:tcPr>
            <w:tcW w:w="1120" w:type="dxa"/>
            <w:vAlign w:val="center"/>
          </w:tcPr>
          <w:p w14:paraId="3A2ABCC0"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181</w:t>
            </w:r>
          </w:p>
        </w:tc>
        <w:tc>
          <w:tcPr>
            <w:tcW w:w="1120" w:type="dxa"/>
            <w:vAlign w:val="center"/>
          </w:tcPr>
          <w:p w14:paraId="1497E5AC"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185</w:t>
            </w:r>
          </w:p>
        </w:tc>
        <w:tc>
          <w:tcPr>
            <w:tcW w:w="1120" w:type="dxa"/>
            <w:vAlign w:val="center"/>
          </w:tcPr>
          <w:p w14:paraId="2252BBBF"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179</w:t>
            </w:r>
          </w:p>
        </w:tc>
        <w:tc>
          <w:tcPr>
            <w:tcW w:w="1120" w:type="dxa"/>
            <w:vAlign w:val="center"/>
          </w:tcPr>
          <w:p w14:paraId="5AF95412"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275</w:t>
            </w:r>
          </w:p>
        </w:tc>
        <w:tc>
          <w:tcPr>
            <w:tcW w:w="1120" w:type="dxa"/>
            <w:vAlign w:val="center"/>
          </w:tcPr>
          <w:p w14:paraId="2A1B0D88"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326</w:t>
            </w:r>
          </w:p>
        </w:tc>
      </w:tr>
      <w:tr w:rsidR="00BC121A" w:rsidRPr="002D6F59" w14:paraId="5A371004" w14:textId="77777777" w:rsidTr="00BC121A">
        <w:trPr>
          <w:trHeight w:val="351"/>
          <w:jc w:val="center"/>
        </w:trPr>
        <w:tc>
          <w:tcPr>
            <w:tcW w:w="2512" w:type="dxa"/>
            <w:shd w:val="clear" w:color="auto" w:fill="auto"/>
            <w:noWrap/>
          </w:tcPr>
          <w:p w14:paraId="1F174E31" w14:textId="6C0170C4" w:rsidR="00BC121A" w:rsidRPr="002D6F59" w:rsidRDefault="00BC121A" w:rsidP="00B17AB2">
            <w:pPr>
              <w:spacing w:line="276" w:lineRule="auto"/>
              <w:jc w:val="center"/>
              <w:rPr>
                <w:rFonts w:ascii="Century Gothic" w:hAnsi="Century Gothic" w:cs="Arial"/>
                <w:sz w:val="22"/>
                <w:szCs w:val="22"/>
              </w:rPr>
            </w:pPr>
            <w:bookmarkStart w:id="5" w:name="m_5496749265742339522_218"/>
            <w:r w:rsidRPr="002D6F59">
              <w:rPr>
                <w:rFonts w:ascii="Century Gothic" w:hAnsi="Century Gothic" w:cs="Arial"/>
                <w:sz w:val="22"/>
                <w:szCs w:val="22"/>
              </w:rPr>
              <w:t>Artículo 218. Pornografía con personas menores de 18 años.</w:t>
            </w:r>
            <w:bookmarkEnd w:id="5"/>
          </w:p>
        </w:tc>
        <w:tc>
          <w:tcPr>
            <w:tcW w:w="1120" w:type="dxa"/>
            <w:vAlign w:val="center"/>
          </w:tcPr>
          <w:p w14:paraId="5C1F6DDD"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491</w:t>
            </w:r>
          </w:p>
        </w:tc>
        <w:tc>
          <w:tcPr>
            <w:tcW w:w="1120" w:type="dxa"/>
            <w:vAlign w:val="center"/>
          </w:tcPr>
          <w:p w14:paraId="3CC69CBD"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773</w:t>
            </w:r>
          </w:p>
        </w:tc>
        <w:tc>
          <w:tcPr>
            <w:tcW w:w="1120" w:type="dxa"/>
            <w:vAlign w:val="center"/>
          </w:tcPr>
          <w:p w14:paraId="2A77D641"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881</w:t>
            </w:r>
          </w:p>
        </w:tc>
        <w:tc>
          <w:tcPr>
            <w:tcW w:w="1120" w:type="dxa"/>
            <w:vAlign w:val="center"/>
          </w:tcPr>
          <w:p w14:paraId="52633C0D"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1.174</w:t>
            </w:r>
          </w:p>
        </w:tc>
        <w:tc>
          <w:tcPr>
            <w:tcW w:w="1120" w:type="dxa"/>
            <w:vAlign w:val="center"/>
          </w:tcPr>
          <w:p w14:paraId="4403A0A7" w14:textId="77777777" w:rsidR="00BC121A" w:rsidRPr="002D6F59" w:rsidRDefault="00BC121A" w:rsidP="00B17AB2">
            <w:pPr>
              <w:spacing w:line="276" w:lineRule="auto"/>
              <w:jc w:val="center"/>
              <w:rPr>
                <w:rFonts w:ascii="Century Gothic" w:hAnsi="Century Gothic" w:cs="Arial"/>
                <w:sz w:val="22"/>
                <w:szCs w:val="22"/>
              </w:rPr>
            </w:pPr>
            <w:r w:rsidRPr="002D6F59">
              <w:rPr>
                <w:rFonts w:ascii="Century Gothic" w:hAnsi="Century Gothic" w:cs="Arial"/>
                <w:sz w:val="22"/>
                <w:szCs w:val="22"/>
              </w:rPr>
              <w:t>1.303</w:t>
            </w:r>
          </w:p>
        </w:tc>
      </w:tr>
      <w:tr w:rsidR="00BC121A" w:rsidRPr="002D6F59" w14:paraId="7E482926" w14:textId="77777777" w:rsidTr="00BC121A">
        <w:trPr>
          <w:trHeight w:val="661"/>
          <w:jc w:val="center"/>
        </w:trPr>
        <w:tc>
          <w:tcPr>
            <w:tcW w:w="2512" w:type="dxa"/>
            <w:shd w:val="clear" w:color="auto" w:fill="auto"/>
            <w:noWrap/>
          </w:tcPr>
          <w:p w14:paraId="0D6E5222"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Total capturas delitos seleccionados</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C518C4F"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rPr>
              <w:t>11.444</w:t>
            </w:r>
          </w:p>
        </w:tc>
        <w:tc>
          <w:tcPr>
            <w:tcW w:w="1120" w:type="dxa"/>
            <w:tcBorders>
              <w:top w:val="single" w:sz="4" w:space="0" w:color="auto"/>
              <w:left w:val="nil"/>
              <w:bottom w:val="single" w:sz="4" w:space="0" w:color="auto"/>
              <w:right w:val="single" w:sz="4" w:space="0" w:color="auto"/>
            </w:tcBorders>
            <w:shd w:val="clear" w:color="auto" w:fill="auto"/>
            <w:vAlign w:val="center"/>
          </w:tcPr>
          <w:p w14:paraId="3F80A81D"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11.863</w:t>
            </w:r>
          </w:p>
        </w:tc>
        <w:tc>
          <w:tcPr>
            <w:tcW w:w="1120" w:type="dxa"/>
            <w:tcBorders>
              <w:top w:val="single" w:sz="4" w:space="0" w:color="auto"/>
              <w:left w:val="nil"/>
              <w:bottom w:val="single" w:sz="4" w:space="0" w:color="auto"/>
              <w:right w:val="single" w:sz="4" w:space="0" w:color="auto"/>
            </w:tcBorders>
            <w:shd w:val="clear" w:color="auto" w:fill="auto"/>
            <w:vAlign w:val="center"/>
          </w:tcPr>
          <w:p w14:paraId="45BE2C36"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12.168</w:t>
            </w:r>
          </w:p>
        </w:tc>
        <w:tc>
          <w:tcPr>
            <w:tcW w:w="1120" w:type="dxa"/>
            <w:tcBorders>
              <w:top w:val="single" w:sz="4" w:space="0" w:color="auto"/>
              <w:left w:val="nil"/>
              <w:bottom w:val="single" w:sz="4" w:space="0" w:color="auto"/>
              <w:right w:val="single" w:sz="4" w:space="0" w:color="auto"/>
            </w:tcBorders>
            <w:shd w:val="clear" w:color="auto" w:fill="auto"/>
            <w:vAlign w:val="center"/>
          </w:tcPr>
          <w:p w14:paraId="2BB2FEFE"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14.612</w:t>
            </w:r>
          </w:p>
        </w:tc>
        <w:tc>
          <w:tcPr>
            <w:tcW w:w="1120" w:type="dxa"/>
            <w:tcBorders>
              <w:top w:val="single" w:sz="4" w:space="0" w:color="auto"/>
              <w:left w:val="nil"/>
              <w:bottom w:val="single" w:sz="4" w:space="0" w:color="auto"/>
              <w:right w:val="single" w:sz="4" w:space="0" w:color="auto"/>
            </w:tcBorders>
            <w:shd w:val="clear" w:color="auto" w:fill="auto"/>
            <w:vAlign w:val="center"/>
          </w:tcPr>
          <w:p w14:paraId="0CED14EB"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15.486</w:t>
            </w:r>
          </w:p>
        </w:tc>
      </w:tr>
      <w:tr w:rsidR="00BC121A" w:rsidRPr="002D6F59" w14:paraId="741E1308" w14:textId="77777777" w:rsidTr="00BC121A">
        <w:trPr>
          <w:trHeight w:val="351"/>
          <w:jc w:val="center"/>
        </w:trPr>
        <w:tc>
          <w:tcPr>
            <w:tcW w:w="2512" w:type="dxa"/>
            <w:shd w:val="clear" w:color="auto" w:fill="auto"/>
            <w:noWrap/>
          </w:tcPr>
          <w:p w14:paraId="315F9655"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Total capturas todos los delitos</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center"/>
          </w:tcPr>
          <w:p w14:paraId="3B171AB6"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1.137.253</w:t>
            </w:r>
          </w:p>
        </w:tc>
        <w:tc>
          <w:tcPr>
            <w:tcW w:w="1120" w:type="dxa"/>
            <w:tcBorders>
              <w:top w:val="single" w:sz="8" w:space="0" w:color="auto"/>
              <w:left w:val="nil"/>
              <w:bottom w:val="single" w:sz="4" w:space="0" w:color="auto"/>
              <w:right w:val="single" w:sz="8" w:space="0" w:color="auto"/>
            </w:tcBorders>
            <w:shd w:val="clear" w:color="auto" w:fill="auto"/>
            <w:vAlign w:val="center"/>
          </w:tcPr>
          <w:p w14:paraId="00689E2C"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1.176.501</w:t>
            </w:r>
          </w:p>
        </w:tc>
        <w:tc>
          <w:tcPr>
            <w:tcW w:w="1120" w:type="dxa"/>
            <w:tcBorders>
              <w:top w:val="single" w:sz="8" w:space="0" w:color="auto"/>
              <w:left w:val="nil"/>
              <w:bottom w:val="single" w:sz="4" w:space="0" w:color="auto"/>
              <w:right w:val="single" w:sz="8" w:space="0" w:color="auto"/>
            </w:tcBorders>
            <w:shd w:val="clear" w:color="auto" w:fill="auto"/>
            <w:vAlign w:val="center"/>
          </w:tcPr>
          <w:p w14:paraId="4888C098"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1.202.378</w:t>
            </w:r>
          </w:p>
        </w:tc>
        <w:tc>
          <w:tcPr>
            <w:tcW w:w="1120" w:type="dxa"/>
            <w:tcBorders>
              <w:top w:val="single" w:sz="8" w:space="0" w:color="auto"/>
              <w:left w:val="nil"/>
              <w:bottom w:val="single" w:sz="4" w:space="0" w:color="auto"/>
              <w:right w:val="single" w:sz="8" w:space="0" w:color="auto"/>
            </w:tcBorders>
            <w:shd w:val="clear" w:color="auto" w:fill="auto"/>
            <w:vAlign w:val="center"/>
          </w:tcPr>
          <w:p w14:paraId="4151736B"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1.262.762</w:t>
            </w:r>
          </w:p>
        </w:tc>
        <w:tc>
          <w:tcPr>
            <w:tcW w:w="1120" w:type="dxa"/>
            <w:tcBorders>
              <w:top w:val="single" w:sz="8" w:space="0" w:color="auto"/>
              <w:left w:val="nil"/>
              <w:bottom w:val="single" w:sz="4" w:space="0" w:color="auto"/>
              <w:right w:val="single" w:sz="8" w:space="0" w:color="auto"/>
            </w:tcBorders>
            <w:shd w:val="clear" w:color="auto" w:fill="auto"/>
            <w:vAlign w:val="center"/>
          </w:tcPr>
          <w:p w14:paraId="6CC59CD2" w14:textId="77777777" w:rsidR="00BC121A" w:rsidRPr="002D6F59" w:rsidRDefault="00BC121A" w:rsidP="00B17AB2">
            <w:pPr>
              <w:spacing w:line="276" w:lineRule="auto"/>
              <w:jc w:val="center"/>
              <w:rPr>
                <w:rFonts w:ascii="Century Gothic" w:hAnsi="Century Gothic" w:cs="Arial"/>
                <w:b/>
                <w:bCs/>
                <w:sz w:val="22"/>
                <w:szCs w:val="22"/>
              </w:rPr>
            </w:pPr>
            <w:r w:rsidRPr="002D6F59">
              <w:rPr>
                <w:rFonts w:ascii="Century Gothic" w:hAnsi="Century Gothic" w:cs="Arial"/>
                <w:b/>
                <w:bCs/>
                <w:sz w:val="22"/>
                <w:szCs w:val="22"/>
              </w:rPr>
              <w:t>1.370.749</w:t>
            </w:r>
          </w:p>
        </w:tc>
      </w:tr>
    </w:tbl>
    <w:p w14:paraId="3913DFCE" w14:textId="4A7DAF63" w:rsidR="009A4A7E" w:rsidRPr="002D6F59" w:rsidRDefault="00BC121A" w:rsidP="00B17AB2">
      <w:pPr>
        <w:spacing w:line="276" w:lineRule="auto"/>
        <w:jc w:val="both"/>
        <w:rPr>
          <w:rFonts w:ascii="Century Gothic" w:hAnsi="Century Gothic" w:cs="Arial"/>
          <w:sz w:val="18"/>
          <w:szCs w:val="18"/>
          <w:lang w:val="es-ES"/>
        </w:rPr>
      </w:pPr>
      <w:r w:rsidRPr="002D6F59">
        <w:rPr>
          <w:rFonts w:ascii="Century Gothic" w:hAnsi="Century Gothic" w:cs="Arial"/>
          <w:b/>
          <w:sz w:val="18"/>
          <w:szCs w:val="18"/>
          <w:lang w:val="es-ES"/>
        </w:rPr>
        <w:t>Tabla 2:</w:t>
      </w:r>
      <w:r w:rsidRPr="002D6F59">
        <w:rPr>
          <w:rFonts w:ascii="Century Gothic" w:hAnsi="Century Gothic" w:cs="Arial"/>
          <w:sz w:val="18"/>
          <w:szCs w:val="18"/>
          <w:lang w:val="es-ES"/>
        </w:rPr>
        <w:t xml:space="preserve"> Cantidad noticias criminales por año ingreso. Elaboración: OPC. Fuente: FGN – Datos a enero 10 de 2019</w:t>
      </w:r>
    </w:p>
    <w:p w14:paraId="6EFD93B1" w14:textId="2DAB96BA" w:rsidR="00887542" w:rsidRPr="002D6F59" w:rsidRDefault="00887542" w:rsidP="00B17AB2">
      <w:pPr>
        <w:spacing w:line="276" w:lineRule="auto"/>
        <w:jc w:val="both"/>
        <w:rPr>
          <w:rFonts w:ascii="Century Gothic" w:hAnsi="Century Gothic" w:cs="Arial"/>
          <w:sz w:val="22"/>
          <w:szCs w:val="22"/>
          <w:lang w:val="es-ES"/>
        </w:rPr>
      </w:pPr>
    </w:p>
    <w:tbl>
      <w:tblPr>
        <w:tblW w:w="9565" w:type="dxa"/>
        <w:jc w:val="center"/>
        <w:tblLayout w:type="fixed"/>
        <w:tblCellMar>
          <w:left w:w="70" w:type="dxa"/>
          <w:right w:w="70" w:type="dxa"/>
        </w:tblCellMar>
        <w:tblLook w:val="04A0" w:firstRow="1" w:lastRow="0" w:firstColumn="1" w:lastColumn="0" w:noHBand="0" w:noVBand="1"/>
      </w:tblPr>
      <w:tblGrid>
        <w:gridCol w:w="1484"/>
        <w:gridCol w:w="942"/>
        <w:gridCol w:w="943"/>
        <w:gridCol w:w="942"/>
        <w:gridCol w:w="943"/>
        <w:gridCol w:w="843"/>
        <w:gridCol w:w="844"/>
        <w:gridCol w:w="843"/>
        <w:gridCol w:w="844"/>
        <w:gridCol w:w="937"/>
      </w:tblGrid>
      <w:tr w:rsidR="00BC121A" w:rsidRPr="002D6F59" w14:paraId="763DD7C3" w14:textId="77777777" w:rsidTr="00887542">
        <w:trPr>
          <w:trHeight w:val="300"/>
          <w:jc w:val="center"/>
        </w:trPr>
        <w:tc>
          <w:tcPr>
            <w:tcW w:w="1484" w:type="dxa"/>
            <w:vMerge w:val="restar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F3B1677"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Año</w:t>
            </w:r>
          </w:p>
        </w:tc>
        <w:tc>
          <w:tcPr>
            <w:tcW w:w="3770" w:type="dxa"/>
            <w:gridSpan w:val="4"/>
            <w:tcBorders>
              <w:top w:val="single" w:sz="4" w:space="0" w:color="auto"/>
              <w:left w:val="nil"/>
              <w:bottom w:val="single" w:sz="4" w:space="0" w:color="auto"/>
              <w:right w:val="single" w:sz="4" w:space="0" w:color="auto"/>
            </w:tcBorders>
            <w:shd w:val="clear" w:color="auto" w:fill="9CC2E5"/>
            <w:noWrap/>
            <w:vAlign w:val="center"/>
            <w:hideMark/>
          </w:tcPr>
          <w:p w14:paraId="18D9D0E3"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Hombre</w:t>
            </w:r>
          </w:p>
        </w:tc>
        <w:tc>
          <w:tcPr>
            <w:tcW w:w="3374" w:type="dxa"/>
            <w:gridSpan w:val="4"/>
            <w:tcBorders>
              <w:top w:val="single" w:sz="4" w:space="0" w:color="auto"/>
              <w:left w:val="nil"/>
              <w:bottom w:val="single" w:sz="4" w:space="0" w:color="auto"/>
              <w:right w:val="single" w:sz="4" w:space="0" w:color="000000"/>
            </w:tcBorders>
            <w:shd w:val="clear" w:color="auto" w:fill="9CC2E5"/>
            <w:noWrap/>
            <w:vAlign w:val="center"/>
            <w:hideMark/>
          </w:tcPr>
          <w:p w14:paraId="772F5F77"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Mujer</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6F6E519D"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Total</w:t>
            </w:r>
          </w:p>
        </w:tc>
      </w:tr>
      <w:tr w:rsidR="00BC121A" w:rsidRPr="002D6F59" w14:paraId="62E14816" w14:textId="77777777" w:rsidTr="00887542">
        <w:trPr>
          <w:trHeight w:val="300"/>
          <w:jc w:val="center"/>
        </w:trPr>
        <w:tc>
          <w:tcPr>
            <w:tcW w:w="1484"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14:paraId="3D8B4B0D" w14:textId="77777777" w:rsidR="00BC121A" w:rsidRPr="002D6F59" w:rsidRDefault="00BC121A" w:rsidP="00B17AB2">
            <w:pPr>
              <w:spacing w:line="276" w:lineRule="auto"/>
              <w:jc w:val="center"/>
              <w:rPr>
                <w:rFonts w:ascii="Century Gothic" w:hAnsi="Century Gothic" w:cs="Arial"/>
                <w:b/>
                <w:bCs/>
                <w:sz w:val="22"/>
                <w:szCs w:val="22"/>
                <w:lang w:val="es-CO"/>
              </w:rPr>
            </w:pPr>
          </w:p>
        </w:tc>
        <w:tc>
          <w:tcPr>
            <w:tcW w:w="942" w:type="dxa"/>
            <w:tcBorders>
              <w:top w:val="nil"/>
              <w:left w:val="nil"/>
              <w:bottom w:val="single" w:sz="4" w:space="0" w:color="auto"/>
              <w:right w:val="single" w:sz="4" w:space="0" w:color="auto"/>
            </w:tcBorders>
            <w:shd w:val="clear" w:color="auto" w:fill="9CC2E5"/>
            <w:noWrap/>
            <w:vAlign w:val="center"/>
            <w:hideMark/>
          </w:tcPr>
          <w:p w14:paraId="23CB0B44"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0 a 4</w:t>
            </w:r>
          </w:p>
        </w:tc>
        <w:tc>
          <w:tcPr>
            <w:tcW w:w="943" w:type="dxa"/>
            <w:tcBorders>
              <w:top w:val="nil"/>
              <w:left w:val="nil"/>
              <w:bottom w:val="single" w:sz="4" w:space="0" w:color="auto"/>
              <w:right w:val="single" w:sz="4" w:space="0" w:color="auto"/>
            </w:tcBorders>
            <w:shd w:val="clear" w:color="auto" w:fill="9CC2E5"/>
            <w:noWrap/>
            <w:vAlign w:val="center"/>
            <w:hideMark/>
          </w:tcPr>
          <w:p w14:paraId="3F7BE581"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0 a 9</w:t>
            </w:r>
          </w:p>
        </w:tc>
        <w:tc>
          <w:tcPr>
            <w:tcW w:w="942" w:type="dxa"/>
            <w:tcBorders>
              <w:top w:val="nil"/>
              <w:left w:val="nil"/>
              <w:bottom w:val="single" w:sz="4" w:space="0" w:color="auto"/>
              <w:right w:val="single" w:sz="4" w:space="0" w:color="auto"/>
            </w:tcBorders>
            <w:shd w:val="clear" w:color="auto" w:fill="9CC2E5"/>
            <w:noWrap/>
            <w:vAlign w:val="center"/>
            <w:hideMark/>
          </w:tcPr>
          <w:p w14:paraId="0F204961"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10 a 14</w:t>
            </w:r>
          </w:p>
        </w:tc>
        <w:tc>
          <w:tcPr>
            <w:tcW w:w="943" w:type="dxa"/>
            <w:tcBorders>
              <w:top w:val="nil"/>
              <w:left w:val="nil"/>
              <w:bottom w:val="single" w:sz="4" w:space="0" w:color="auto"/>
              <w:right w:val="single" w:sz="4" w:space="0" w:color="auto"/>
            </w:tcBorders>
            <w:shd w:val="clear" w:color="auto" w:fill="9CC2E5"/>
            <w:noWrap/>
            <w:vAlign w:val="center"/>
            <w:hideMark/>
          </w:tcPr>
          <w:p w14:paraId="64ABB49A"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15 a 17</w:t>
            </w:r>
          </w:p>
        </w:tc>
        <w:tc>
          <w:tcPr>
            <w:tcW w:w="843" w:type="dxa"/>
            <w:tcBorders>
              <w:top w:val="nil"/>
              <w:left w:val="nil"/>
              <w:bottom w:val="single" w:sz="4" w:space="0" w:color="auto"/>
              <w:right w:val="single" w:sz="4" w:space="0" w:color="auto"/>
            </w:tcBorders>
            <w:shd w:val="clear" w:color="auto" w:fill="9CC2E5"/>
            <w:noWrap/>
            <w:vAlign w:val="center"/>
            <w:hideMark/>
          </w:tcPr>
          <w:p w14:paraId="2A3C51C9"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0 a 4</w:t>
            </w:r>
          </w:p>
        </w:tc>
        <w:tc>
          <w:tcPr>
            <w:tcW w:w="844" w:type="dxa"/>
            <w:tcBorders>
              <w:top w:val="nil"/>
              <w:left w:val="nil"/>
              <w:bottom w:val="single" w:sz="4" w:space="0" w:color="auto"/>
              <w:right w:val="single" w:sz="4" w:space="0" w:color="auto"/>
            </w:tcBorders>
            <w:shd w:val="clear" w:color="auto" w:fill="9CC2E5"/>
            <w:noWrap/>
            <w:vAlign w:val="center"/>
            <w:hideMark/>
          </w:tcPr>
          <w:p w14:paraId="671A5DB0"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0 a 9</w:t>
            </w:r>
          </w:p>
        </w:tc>
        <w:tc>
          <w:tcPr>
            <w:tcW w:w="843" w:type="dxa"/>
            <w:tcBorders>
              <w:top w:val="nil"/>
              <w:left w:val="nil"/>
              <w:bottom w:val="single" w:sz="4" w:space="0" w:color="auto"/>
              <w:right w:val="single" w:sz="4" w:space="0" w:color="auto"/>
            </w:tcBorders>
            <w:shd w:val="clear" w:color="auto" w:fill="9CC2E5"/>
            <w:noWrap/>
            <w:vAlign w:val="center"/>
            <w:hideMark/>
          </w:tcPr>
          <w:p w14:paraId="798928B0"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10 a 14</w:t>
            </w:r>
          </w:p>
        </w:tc>
        <w:tc>
          <w:tcPr>
            <w:tcW w:w="844" w:type="dxa"/>
            <w:tcBorders>
              <w:top w:val="nil"/>
              <w:left w:val="nil"/>
              <w:bottom w:val="single" w:sz="4" w:space="0" w:color="auto"/>
              <w:right w:val="single" w:sz="4" w:space="0" w:color="auto"/>
            </w:tcBorders>
            <w:shd w:val="clear" w:color="auto" w:fill="9CC2E5"/>
            <w:noWrap/>
            <w:vAlign w:val="center"/>
            <w:hideMark/>
          </w:tcPr>
          <w:p w14:paraId="1DEADC87" w14:textId="77777777"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15 a 17</w:t>
            </w:r>
          </w:p>
        </w:tc>
        <w:tc>
          <w:tcPr>
            <w:tcW w:w="937"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14:paraId="561AF2CB" w14:textId="77777777" w:rsidR="00BC121A" w:rsidRPr="002D6F59" w:rsidRDefault="00BC121A" w:rsidP="00B17AB2">
            <w:pPr>
              <w:spacing w:line="276" w:lineRule="auto"/>
              <w:jc w:val="center"/>
              <w:rPr>
                <w:rFonts w:ascii="Century Gothic" w:hAnsi="Century Gothic" w:cs="Arial"/>
                <w:b/>
                <w:bCs/>
                <w:sz w:val="22"/>
                <w:szCs w:val="22"/>
                <w:lang w:val="es-CO"/>
              </w:rPr>
            </w:pPr>
          </w:p>
        </w:tc>
      </w:tr>
      <w:tr w:rsidR="00BC121A" w:rsidRPr="002D6F59" w14:paraId="66E8F4A5" w14:textId="77777777" w:rsidTr="00887542">
        <w:trPr>
          <w:trHeight w:val="300"/>
          <w:jc w:val="center"/>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14:paraId="779754DF" w14:textId="77777777" w:rsidR="00BC121A" w:rsidRPr="002D6F59" w:rsidRDefault="00BC121A" w:rsidP="00B17AB2">
            <w:pPr>
              <w:spacing w:line="276" w:lineRule="auto"/>
              <w:jc w:val="center"/>
              <w:rPr>
                <w:rFonts w:ascii="Century Gothic" w:hAnsi="Century Gothic" w:cs="Arial"/>
                <w:b/>
                <w:sz w:val="22"/>
                <w:szCs w:val="22"/>
                <w:lang w:val="es-CO"/>
              </w:rPr>
            </w:pPr>
            <w:r w:rsidRPr="002D6F59">
              <w:rPr>
                <w:rFonts w:ascii="Century Gothic" w:hAnsi="Century Gothic" w:cs="Arial"/>
                <w:b/>
                <w:sz w:val="22"/>
                <w:szCs w:val="22"/>
                <w:lang w:val="es-CO"/>
              </w:rPr>
              <w:lastRenderedPageBreak/>
              <w:t>2014</w:t>
            </w:r>
          </w:p>
        </w:tc>
        <w:tc>
          <w:tcPr>
            <w:tcW w:w="942" w:type="dxa"/>
            <w:tcBorders>
              <w:top w:val="nil"/>
              <w:left w:val="nil"/>
              <w:bottom w:val="single" w:sz="4" w:space="0" w:color="auto"/>
              <w:right w:val="single" w:sz="4" w:space="0" w:color="auto"/>
            </w:tcBorders>
            <w:shd w:val="clear" w:color="auto" w:fill="auto"/>
            <w:noWrap/>
            <w:vAlign w:val="bottom"/>
            <w:hideMark/>
          </w:tcPr>
          <w:p w14:paraId="039FE9E6" w14:textId="59B7444C"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553</w:t>
            </w:r>
          </w:p>
        </w:tc>
        <w:tc>
          <w:tcPr>
            <w:tcW w:w="943" w:type="dxa"/>
            <w:tcBorders>
              <w:top w:val="nil"/>
              <w:left w:val="nil"/>
              <w:bottom w:val="single" w:sz="4" w:space="0" w:color="auto"/>
              <w:right w:val="single" w:sz="4" w:space="0" w:color="auto"/>
            </w:tcBorders>
            <w:shd w:val="clear" w:color="auto" w:fill="auto"/>
            <w:noWrap/>
            <w:vAlign w:val="bottom"/>
            <w:hideMark/>
          </w:tcPr>
          <w:p w14:paraId="28DCCBD6" w14:textId="05EA5C43"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1.237</w:t>
            </w:r>
          </w:p>
        </w:tc>
        <w:tc>
          <w:tcPr>
            <w:tcW w:w="942" w:type="dxa"/>
            <w:tcBorders>
              <w:top w:val="nil"/>
              <w:left w:val="nil"/>
              <w:bottom w:val="single" w:sz="4" w:space="0" w:color="auto"/>
              <w:right w:val="single" w:sz="4" w:space="0" w:color="auto"/>
            </w:tcBorders>
            <w:shd w:val="clear" w:color="auto" w:fill="auto"/>
            <w:noWrap/>
            <w:vAlign w:val="bottom"/>
            <w:hideMark/>
          </w:tcPr>
          <w:p w14:paraId="39849BD2" w14:textId="243F6802"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871</w:t>
            </w:r>
          </w:p>
        </w:tc>
        <w:tc>
          <w:tcPr>
            <w:tcW w:w="943" w:type="dxa"/>
            <w:tcBorders>
              <w:top w:val="nil"/>
              <w:left w:val="nil"/>
              <w:bottom w:val="single" w:sz="4" w:space="0" w:color="auto"/>
              <w:right w:val="single" w:sz="4" w:space="0" w:color="auto"/>
            </w:tcBorders>
            <w:shd w:val="clear" w:color="auto" w:fill="auto"/>
            <w:noWrap/>
            <w:vAlign w:val="bottom"/>
            <w:hideMark/>
          </w:tcPr>
          <w:p w14:paraId="2F5AA147" w14:textId="3FA547C8"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238</w:t>
            </w:r>
          </w:p>
        </w:tc>
        <w:tc>
          <w:tcPr>
            <w:tcW w:w="843" w:type="dxa"/>
            <w:tcBorders>
              <w:top w:val="nil"/>
              <w:left w:val="nil"/>
              <w:bottom w:val="single" w:sz="4" w:space="0" w:color="auto"/>
              <w:right w:val="single" w:sz="4" w:space="0" w:color="auto"/>
            </w:tcBorders>
            <w:shd w:val="clear" w:color="auto" w:fill="auto"/>
            <w:noWrap/>
            <w:vAlign w:val="bottom"/>
            <w:hideMark/>
          </w:tcPr>
          <w:p w14:paraId="42EA0067" w14:textId="492A03EA"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1.756</w:t>
            </w:r>
          </w:p>
        </w:tc>
        <w:tc>
          <w:tcPr>
            <w:tcW w:w="844" w:type="dxa"/>
            <w:tcBorders>
              <w:top w:val="nil"/>
              <w:left w:val="nil"/>
              <w:bottom w:val="single" w:sz="4" w:space="0" w:color="auto"/>
              <w:right w:val="single" w:sz="4" w:space="0" w:color="auto"/>
            </w:tcBorders>
            <w:shd w:val="clear" w:color="auto" w:fill="auto"/>
            <w:noWrap/>
            <w:vAlign w:val="bottom"/>
            <w:hideMark/>
          </w:tcPr>
          <w:p w14:paraId="261E4091" w14:textId="4E53532C"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3.902</w:t>
            </w:r>
          </w:p>
        </w:tc>
        <w:tc>
          <w:tcPr>
            <w:tcW w:w="843" w:type="dxa"/>
            <w:tcBorders>
              <w:top w:val="nil"/>
              <w:left w:val="nil"/>
              <w:bottom w:val="single" w:sz="4" w:space="0" w:color="auto"/>
              <w:right w:val="single" w:sz="4" w:space="0" w:color="auto"/>
            </w:tcBorders>
            <w:shd w:val="clear" w:color="auto" w:fill="auto"/>
            <w:noWrap/>
            <w:vAlign w:val="bottom"/>
            <w:hideMark/>
          </w:tcPr>
          <w:p w14:paraId="719FC9A6" w14:textId="45791F88"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7.427</w:t>
            </w:r>
          </w:p>
        </w:tc>
        <w:tc>
          <w:tcPr>
            <w:tcW w:w="844" w:type="dxa"/>
            <w:tcBorders>
              <w:top w:val="nil"/>
              <w:left w:val="nil"/>
              <w:bottom w:val="single" w:sz="4" w:space="0" w:color="auto"/>
              <w:right w:val="single" w:sz="4" w:space="0" w:color="auto"/>
            </w:tcBorders>
            <w:shd w:val="clear" w:color="auto" w:fill="auto"/>
            <w:noWrap/>
            <w:vAlign w:val="bottom"/>
            <w:hideMark/>
          </w:tcPr>
          <w:p w14:paraId="1A07D061" w14:textId="7C1B1D3F"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2.132</w:t>
            </w:r>
          </w:p>
        </w:tc>
        <w:tc>
          <w:tcPr>
            <w:tcW w:w="937" w:type="dxa"/>
            <w:tcBorders>
              <w:top w:val="nil"/>
              <w:left w:val="nil"/>
              <w:bottom w:val="single" w:sz="4" w:space="0" w:color="auto"/>
              <w:right w:val="single" w:sz="4" w:space="0" w:color="auto"/>
            </w:tcBorders>
            <w:shd w:val="clear" w:color="auto" w:fill="auto"/>
            <w:noWrap/>
            <w:vAlign w:val="bottom"/>
            <w:hideMark/>
          </w:tcPr>
          <w:p w14:paraId="38D1E272" w14:textId="60B2CA76"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18.116</w:t>
            </w:r>
          </w:p>
        </w:tc>
      </w:tr>
      <w:tr w:rsidR="00BC121A" w:rsidRPr="002D6F59" w14:paraId="30C022B3" w14:textId="77777777" w:rsidTr="00887542">
        <w:trPr>
          <w:trHeight w:val="300"/>
          <w:jc w:val="center"/>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14:paraId="11FE57DA" w14:textId="77777777" w:rsidR="00BC121A" w:rsidRPr="002D6F59" w:rsidRDefault="00BC121A" w:rsidP="00B17AB2">
            <w:pPr>
              <w:spacing w:line="276" w:lineRule="auto"/>
              <w:jc w:val="center"/>
              <w:rPr>
                <w:rFonts w:ascii="Century Gothic" w:hAnsi="Century Gothic" w:cs="Arial"/>
                <w:b/>
                <w:sz w:val="22"/>
                <w:szCs w:val="22"/>
                <w:lang w:val="es-CO"/>
              </w:rPr>
            </w:pPr>
            <w:r w:rsidRPr="002D6F59">
              <w:rPr>
                <w:rFonts w:ascii="Century Gothic" w:hAnsi="Century Gothic" w:cs="Arial"/>
                <w:b/>
                <w:sz w:val="22"/>
                <w:szCs w:val="22"/>
                <w:lang w:val="es-CO"/>
              </w:rPr>
              <w:t>2015</w:t>
            </w:r>
          </w:p>
        </w:tc>
        <w:tc>
          <w:tcPr>
            <w:tcW w:w="942" w:type="dxa"/>
            <w:tcBorders>
              <w:top w:val="nil"/>
              <w:left w:val="nil"/>
              <w:bottom w:val="single" w:sz="4" w:space="0" w:color="auto"/>
              <w:right w:val="single" w:sz="4" w:space="0" w:color="auto"/>
            </w:tcBorders>
            <w:shd w:val="clear" w:color="auto" w:fill="auto"/>
            <w:noWrap/>
            <w:vAlign w:val="bottom"/>
            <w:hideMark/>
          </w:tcPr>
          <w:p w14:paraId="657D0DFA" w14:textId="21D4B231"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597</w:t>
            </w:r>
          </w:p>
        </w:tc>
        <w:tc>
          <w:tcPr>
            <w:tcW w:w="943" w:type="dxa"/>
            <w:tcBorders>
              <w:top w:val="nil"/>
              <w:left w:val="nil"/>
              <w:bottom w:val="single" w:sz="4" w:space="0" w:color="auto"/>
              <w:right w:val="single" w:sz="4" w:space="0" w:color="auto"/>
            </w:tcBorders>
            <w:shd w:val="clear" w:color="auto" w:fill="auto"/>
            <w:noWrap/>
            <w:vAlign w:val="bottom"/>
            <w:hideMark/>
          </w:tcPr>
          <w:p w14:paraId="098E0A1D" w14:textId="529BBD3F"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1.269</w:t>
            </w:r>
          </w:p>
        </w:tc>
        <w:tc>
          <w:tcPr>
            <w:tcW w:w="942" w:type="dxa"/>
            <w:tcBorders>
              <w:top w:val="nil"/>
              <w:left w:val="nil"/>
              <w:bottom w:val="single" w:sz="4" w:space="0" w:color="auto"/>
              <w:right w:val="single" w:sz="4" w:space="0" w:color="auto"/>
            </w:tcBorders>
            <w:shd w:val="clear" w:color="auto" w:fill="auto"/>
            <w:noWrap/>
            <w:vAlign w:val="bottom"/>
            <w:hideMark/>
          </w:tcPr>
          <w:p w14:paraId="2926A94B" w14:textId="1B4D3566"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954</w:t>
            </w:r>
          </w:p>
        </w:tc>
        <w:tc>
          <w:tcPr>
            <w:tcW w:w="943" w:type="dxa"/>
            <w:tcBorders>
              <w:top w:val="nil"/>
              <w:left w:val="nil"/>
              <w:bottom w:val="single" w:sz="4" w:space="0" w:color="auto"/>
              <w:right w:val="single" w:sz="4" w:space="0" w:color="auto"/>
            </w:tcBorders>
            <w:shd w:val="clear" w:color="auto" w:fill="auto"/>
            <w:noWrap/>
            <w:vAlign w:val="bottom"/>
            <w:hideMark/>
          </w:tcPr>
          <w:p w14:paraId="4B3962E9" w14:textId="1A0B32B2"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245</w:t>
            </w:r>
          </w:p>
        </w:tc>
        <w:tc>
          <w:tcPr>
            <w:tcW w:w="843" w:type="dxa"/>
            <w:tcBorders>
              <w:top w:val="nil"/>
              <w:left w:val="nil"/>
              <w:bottom w:val="single" w:sz="4" w:space="0" w:color="auto"/>
              <w:right w:val="single" w:sz="4" w:space="0" w:color="auto"/>
            </w:tcBorders>
            <w:shd w:val="clear" w:color="auto" w:fill="auto"/>
            <w:noWrap/>
            <w:vAlign w:val="bottom"/>
            <w:hideMark/>
          </w:tcPr>
          <w:p w14:paraId="7394551D" w14:textId="58E0AFE2"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2.011</w:t>
            </w:r>
          </w:p>
        </w:tc>
        <w:tc>
          <w:tcPr>
            <w:tcW w:w="844" w:type="dxa"/>
            <w:tcBorders>
              <w:top w:val="nil"/>
              <w:left w:val="nil"/>
              <w:bottom w:val="single" w:sz="4" w:space="0" w:color="auto"/>
              <w:right w:val="single" w:sz="4" w:space="0" w:color="auto"/>
            </w:tcBorders>
            <w:shd w:val="clear" w:color="auto" w:fill="auto"/>
            <w:noWrap/>
            <w:vAlign w:val="bottom"/>
            <w:hideMark/>
          </w:tcPr>
          <w:p w14:paraId="1C923CE3" w14:textId="252F0E61"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4.162</w:t>
            </w:r>
          </w:p>
        </w:tc>
        <w:tc>
          <w:tcPr>
            <w:tcW w:w="843" w:type="dxa"/>
            <w:tcBorders>
              <w:top w:val="nil"/>
              <w:left w:val="nil"/>
              <w:bottom w:val="single" w:sz="4" w:space="0" w:color="auto"/>
              <w:right w:val="single" w:sz="4" w:space="0" w:color="auto"/>
            </w:tcBorders>
            <w:shd w:val="clear" w:color="auto" w:fill="auto"/>
            <w:noWrap/>
            <w:vAlign w:val="bottom"/>
            <w:hideMark/>
          </w:tcPr>
          <w:p w14:paraId="313693FA" w14:textId="63D4DEC4"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7.648</w:t>
            </w:r>
          </w:p>
        </w:tc>
        <w:tc>
          <w:tcPr>
            <w:tcW w:w="844" w:type="dxa"/>
            <w:tcBorders>
              <w:top w:val="nil"/>
              <w:left w:val="nil"/>
              <w:bottom w:val="single" w:sz="4" w:space="0" w:color="auto"/>
              <w:right w:val="single" w:sz="4" w:space="0" w:color="auto"/>
            </w:tcBorders>
            <w:shd w:val="clear" w:color="auto" w:fill="auto"/>
            <w:noWrap/>
            <w:vAlign w:val="bottom"/>
            <w:hideMark/>
          </w:tcPr>
          <w:p w14:paraId="15D7AA8D" w14:textId="6D6A120F"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2.295</w:t>
            </w:r>
          </w:p>
        </w:tc>
        <w:tc>
          <w:tcPr>
            <w:tcW w:w="937" w:type="dxa"/>
            <w:tcBorders>
              <w:top w:val="nil"/>
              <w:left w:val="nil"/>
              <w:bottom w:val="single" w:sz="4" w:space="0" w:color="auto"/>
              <w:right w:val="single" w:sz="4" w:space="0" w:color="auto"/>
            </w:tcBorders>
            <w:shd w:val="clear" w:color="auto" w:fill="auto"/>
            <w:noWrap/>
            <w:vAlign w:val="bottom"/>
            <w:hideMark/>
          </w:tcPr>
          <w:p w14:paraId="0DB696B4" w14:textId="54578E8F"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19.181</w:t>
            </w:r>
          </w:p>
        </w:tc>
      </w:tr>
      <w:tr w:rsidR="00BC121A" w:rsidRPr="002D6F59" w14:paraId="03C6BFDC" w14:textId="77777777" w:rsidTr="00887542">
        <w:trPr>
          <w:trHeight w:val="300"/>
          <w:jc w:val="center"/>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14:paraId="5600066A" w14:textId="77777777" w:rsidR="00BC121A" w:rsidRPr="002D6F59" w:rsidRDefault="00BC121A" w:rsidP="00B17AB2">
            <w:pPr>
              <w:spacing w:line="276" w:lineRule="auto"/>
              <w:jc w:val="center"/>
              <w:rPr>
                <w:rFonts w:ascii="Century Gothic" w:hAnsi="Century Gothic" w:cs="Arial"/>
                <w:b/>
                <w:sz w:val="22"/>
                <w:szCs w:val="22"/>
                <w:lang w:val="es-CO"/>
              </w:rPr>
            </w:pPr>
            <w:r w:rsidRPr="002D6F59">
              <w:rPr>
                <w:rFonts w:ascii="Century Gothic" w:hAnsi="Century Gothic" w:cs="Arial"/>
                <w:b/>
                <w:sz w:val="22"/>
                <w:szCs w:val="22"/>
                <w:lang w:val="es-CO"/>
              </w:rPr>
              <w:t>2016</w:t>
            </w:r>
          </w:p>
        </w:tc>
        <w:tc>
          <w:tcPr>
            <w:tcW w:w="942" w:type="dxa"/>
            <w:tcBorders>
              <w:top w:val="nil"/>
              <w:left w:val="nil"/>
              <w:bottom w:val="single" w:sz="4" w:space="0" w:color="auto"/>
              <w:right w:val="single" w:sz="4" w:space="0" w:color="auto"/>
            </w:tcBorders>
            <w:shd w:val="clear" w:color="auto" w:fill="auto"/>
            <w:noWrap/>
            <w:vAlign w:val="bottom"/>
            <w:hideMark/>
          </w:tcPr>
          <w:p w14:paraId="5A030518" w14:textId="5BAF00B3"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563</w:t>
            </w:r>
          </w:p>
        </w:tc>
        <w:tc>
          <w:tcPr>
            <w:tcW w:w="943" w:type="dxa"/>
            <w:tcBorders>
              <w:top w:val="nil"/>
              <w:left w:val="nil"/>
              <w:bottom w:val="single" w:sz="4" w:space="0" w:color="auto"/>
              <w:right w:val="single" w:sz="4" w:space="0" w:color="auto"/>
            </w:tcBorders>
            <w:shd w:val="clear" w:color="auto" w:fill="auto"/>
            <w:noWrap/>
            <w:vAlign w:val="bottom"/>
            <w:hideMark/>
          </w:tcPr>
          <w:p w14:paraId="40E75BD6" w14:textId="0E8BCF89"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1.183</w:t>
            </w:r>
          </w:p>
        </w:tc>
        <w:tc>
          <w:tcPr>
            <w:tcW w:w="942" w:type="dxa"/>
            <w:tcBorders>
              <w:top w:val="nil"/>
              <w:left w:val="nil"/>
              <w:bottom w:val="single" w:sz="4" w:space="0" w:color="auto"/>
              <w:right w:val="single" w:sz="4" w:space="0" w:color="auto"/>
            </w:tcBorders>
            <w:shd w:val="clear" w:color="auto" w:fill="auto"/>
            <w:noWrap/>
            <w:vAlign w:val="bottom"/>
            <w:hideMark/>
          </w:tcPr>
          <w:p w14:paraId="06BAECB9" w14:textId="7A0A527A"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725</w:t>
            </w:r>
          </w:p>
        </w:tc>
        <w:tc>
          <w:tcPr>
            <w:tcW w:w="943" w:type="dxa"/>
            <w:tcBorders>
              <w:top w:val="nil"/>
              <w:left w:val="nil"/>
              <w:bottom w:val="single" w:sz="4" w:space="0" w:color="auto"/>
              <w:right w:val="single" w:sz="4" w:space="0" w:color="auto"/>
            </w:tcBorders>
            <w:shd w:val="clear" w:color="auto" w:fill="auto"/>
            <w:noWrap/>
            <w:vAlign w:val="bottom"/>
            <w:hideMark/>
          </w:tcPr>
          <w:p w14:paraId="4C182FBA" w14:textId="3879545D"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421</w:t>
            </w:r>
          </w:p>
        </w:tc>
        <w:tc>
          <w:tcPr>
            <w:tcW w:w="843" w:type="dxa"/>
            <w:tcBorders>
              <w:top w:val="nil"/>
              <w:left w:val="nil"/>
              <w:bottom w:val="single" w:sz="4" w:space="0" w:color="auto"/>
              <w:right w:val="single" w:sz="4" w:space="0" w:color="auto"/>
            </w:tcBorders>
            <w:shd w:val="clear" w:color="auto" w:fill="auto"/>
            <w:noWrap/>
            <w:vAlign w:val="bottom"/>
            <w:hideMark/>
          </w:tcPr>
          <w:p w14:paraId="56EBC717" w14:textId="001471CE"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1.810</w:t>
            </w:r>
          </w:p>
        </w:tc>
        <w:tc>
          <w:tcPr>
            <w:tcW w:w="844" w:type="dxa"/>
            <w:tcBorders>
              <w:top w:val="nil"/>
              <w:left w:val="nil"/>
              <w:bottom w:val="single" w:sz="4" w:space="0" w:color="auto"/>
              <w:right w:val="single" w:sz="4" w:space="0" w:color="auto"/>
            </w:tcBorders>
            <w:shd w:val="clear" w:color="auto" w:fill="auto"/>
            <w:noWrap/>
            <w:vAlign w:val="bottom"/>
            <w:hideMark/>
          </w:tcPr>
          <w:p w14:paraId="2E419300" w14:textId="6A34B929"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3.795</w:t>
            </w:r>
          </w:p>
        </w:tc>
        <w:tc>
          <w:tcPr>
            <w:tcW w:w="843" w:type="dxa"/>
            <w:tcBorders>
              <w:top w:val="nil"/>
              <w:left w:val="nil"/>
              <w:bottom w:val="single" w:sz="4" w:space="0" w:color="auto"/>
              <w:right w:val="single" w:sz="4" w:space="0" w:color="auto"/>
            </w:tcBorders>
            <w:shd w:val="clear" w:color="auto" w:fill="auto"/>
            <w:noWrap/>
            <w:vAlign w:val="bottom"/>
            <w:hideMark/>
          </w:tcPr>
          <w:p w14:paraId="24B13215" w14:textId="1F1B8727"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6.188</w:t>
            </w:r>
          </w:p>
        </w:tc>
        <w:tc>
          <w:tcPr>
            <w:tcW w:w="844" w:type="dxa"/>
            <w:tcBorders>
              <w:top w:val="nil"/>
              <w:left w:val="nil"/>
              <w:bottom w:val="single" w:sz="4" w:space="0" w:color="auto"/>
              <w:right w:val="single" w:sz="4" w:space="0" w:color="auto"/>
            </w:tcBorders>
            <w:shd w:val="clear" w:color="auto" w:fill="auto"/>
            <w:noWrap/>
            <w:vAlign w:val="bottom"/>
            <w:hideMark/>
          </w:tcPr>
          <w:p w14:paraId="3CDB0341" w14:textId="2D7ADF32"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3.731</w:t>
            </w:r>
          </w:p>
        </w:tc>
        <w:tc>
          <w:tcPr>
            <w:tcW w:w="937" w:type="dxa"/>
            <w:tcBorders>
              <w:top w:val="nil"/>
              <w:left w:val="nil"/>
              <w:bottom w:val="single" w:sz="4" w:space="0" w:color="auto"/>
              <w:right w:val="single" w:sz="4" w:space="0" w:color="auto"/>
            </w:tcBorders>
            <w:shd w:val="clear" w:color="auto" w:fill="auto"/>
            <w:noWrap/>
            <w:vAlign w:val="bottom"/>
            <w:hideMark/>
          </w:tcPr>
          <w:p w14:paraId="3918B439" w14:textId="42389712"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18.416</w:t>
            </w:r>
          </w:p>
        </w:tc>
      </w:tr>
      <w:tr w:rsidR="00BC121A" w:rsidRPr="002D6F59" w14:paraId="6E8C8DA6" w14:textId="77777777" w:rsidTr="00887542">
        <w:trPr>
          <w:trHeight w:val="300"/>
          <w:jc w:val="center"/>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14:paraId="7ABB0388" w14:textId="77777777" w:rsidR="00BC121A" w:rsidRPr="002D6F59" w:rsidRDefault="00BC121A" w:rsidP="00B17AB2">
            <w:pPr>
              <w:spacing w:line="276" w:lineRule="auto"/>
              <w:jc w:val="center"/>
              <w:rPr>
                <w:rFonts w:ascii="Century Gothic" w:hAnsi="Century Gothic" w:cs="Arial"/>
                <w:b/>
                <w:sz w:val="22"/>
                <w:szCs w:val="22"/>
                <w:lang w:val="es-CO"/>
              </w:rPr>
            </w:pPr>
            <w:r w:rsidRPr="002D6F59">
              <w:rPr>
                <w:rFonts w:ascii="Century Gothic" w:hAnsi="Century Gothic" w:cs="Arial"/>
                <w:b/>
                <w:sz w:val="22"/>
                <w:szCs w:val="22"/>
                <w:lang w:val="es-CO"/>
              </w:rPr>
              <w:t>2017</w:t>
            </w:r>
          </w:p>
        </w:tc>
        <w:tc>
          <w:tcPr>
            <w:tcW w:w="942" w:type="dxa"/>
            <w:tcBorders>
              <w:top w:val="nil"/>
              <w:left w:val="nil"/>
              <w:bottom w:val="single" w:sz="4" w:space="0" w:color="auto"/>
              <w:right w:val="single" w:sz="4" w:space="0" w:color="auto"/>
            </w:tcBorders>
            <w:shd w:val="clear" w:color="auto" w:fill="auto"/>
            <w:noWrap/>
            <w:vAlign w:val="bottom"/>
            <w:hideMark/>
          </w:tcPr>
          <w:p w14:paraId="7383637A" w14:textId="2F38F17A"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599</w:t>
            </w:r>
          </w:p>
        </w:tc>
        <w:tc>
          <w:tcPr>
            <w:tcW w:w="943" w:type="dxa"/>
            <w:tcBorders>
              <w:top w:val="nil"/>
              <w:left w:val="nil"/>
              <w:bottom w:val="single" w:sz="4" w:space="0" w:color="auto"/>
              <w:right w:val="single" w:sz="4" w:space="0" w:color="auto"/>
            </w:tcBorders>
            <w:shd w:val="clear" w:color="auto" w:fill="auto"/>
            <w:noWrap/>
            <w:vAlign w:val="bottom"/>
            <w:hideMark/>
          </w:tcPr>
          <w:p w14:paraId="128C2EE4" w14:textId="01278889"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1.211</w:t>
            </w:r>
          </w:p>
        </w:tc>
        <w:tc>
          <w:tcPr>
            <w:tcW w:w="942" w:type="dxa"/>
            <w:tcBorders>
              <w:top w:val="nil"/>
              <w:left w:val="nil"/>
              <w:bottom w:val="single" w:sz="4" w:space="0" w:color="auto"/>
              <w:right w:val="single" w:sz="4" w:space="0" w:color="auto"/>
            </w:tcBorders>
            <w:shd w:val="clear" w:color="auto" w:fill="auto"/>
            <w:noWrap/>
            <w:vAlign w:val="bottom"/>
            <w:hideMark/>
          </w:tcPr>
          <w:p w14:paraId="26EFA623" w14:textId="751A3105"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859</w:t>
            </w:r>
          </w:p>
        </w:tc>
        <w:tc>
          <w:tcPr>
            <w:tcW w:w="943" w:type="dxa"/>
            <w:tcBorders>
              <w:top w:val="nil"/>
              <w:left w:val="nil"/>
              <w:bottom w:val="single" w:sz="4" w:space="0" w:color="auto"/>
              <w:right w:val="single" w:sz="4" w:space="0" w:color="auto"/>
            </w:tcBorders>
            <w:shd w:val="clear" w:color="auto" w:fill="auto"/>
            <w:noWrap/>
            <w:vAlign w:val="bottom"/>
            <w:hideMark/>
          </w:tcPr>
          <w:p w14:paraId="52C5673A" w14:textId="516C1D6D"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437</w:t>
            </w:r>
          </w:p>
        </w:tc>
        <w:tc>
          <w:tcPr>
            <w:tcW w:w="843" w:type="dxa"/>
            <w:tcBorders>
              <w:top w:val="nil"/>
              <w:left w:val="nil"/>
              <w:bottom w:val="single" w:sz="4" w:space="0" w:color="auto"/>
              <w:right w:val="single" w:sz="4" w:space="0" w:color="auto"/>
            </w:tcBorders>
            <w:shd w:val="clear" w:color="auto" w:fill="auto"/>
            <w:noWrap/>
            <w:vAlign w:val="bottom"/>
            <w:hideMark/>
          </w:tcPr>
          <w:p w14:paraId="7A160617" w14:textId="2CC9892E"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2.049</w:t>
            </w:r>
          </w:p>
        </w:tc>
        <w:tc>
          <w:tcPr>
            <w:tcW w:w="844" w:type="dxa"/>
            <w:tcBorders>
              <w:top w:val="nil"/>
              <w:left w:val="nil"/>
              <w:bottom w:val="single" w:sz="4" w:space="0" w:color="auto"/>
              <w:right w:val="single" w:sz="4" w:space="0" w:color="auto"/>
            </w:tcBorders>
            <w:shd w:val="clear" w:color="auto" w:fill="auto"/>
            <w:noWrap/>
            <w:vAlign w:val="bottom"/>
            <w:hideMark/>
          </w:tcPr>
          <w:p w14:paraId="39F4A162" w14:textId="07379430"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4.362</w:t>
            </w:r>
          </w:p>
        </w:tc>
        <w:tc>
          <w:tcPr>
            <w:tcW w:w="843" w:type="dxa"/>
            <w:tcBorders>
              <w:top w:val="nil"/>
              <w:left w:val="nil"/>
              <w:bottom w:val="single" w:sz="4" w:space="0" w:color="auto"/>
              <w:right w:val="single" w:sz="4" w:space="0" w:color="auto"/>
            </w:tcBorders>
            <w:shd w:val="clear" w:color="auto" w:fill="auto"/>
            <w:noWrap/>
            <w:vAlign w:val="bottom"/>
            <w:hideMark/>
          </w:tcPr>
          <w:p w14:paraId="78DFFE58" w14:textId="04D2830E"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7.018</w:t>
            </w:r>
          </w:p>
        </w:tc>
        <w:tc>
          <w:tcPr>
            <w:tcW w:w="844" w:type="dxa"/>
            <w:tcBorders>
              <w:top w:val="nil"/>
              <w:left w:val="nil"/>
              <w:bottom w:val="single" w:sz="4" w:space="0" w:color="auto"/>
              <w:right w:val="single" w:sz="4" w:space="0" w:color="auto"/>
            </w:tcBorders>
            <w:shd w:val="clear" w:color="auto" w:fill="auto"/>
            <w:noWrap/>
            <w:vAlign w:val="bottom"/>
            <w:hideMark/>
          </w:tcPr>
          <w:p w14:paraId="442D7CB1" w14:textId="10CAB402"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4.128</w:t>
            </w:r>
          </w:p>
        </w:tc>
        <w:tc>
          <w:tcPr>
            <w:tcW w:w="937" w:type="dxa"/>
            <w:tcBorders>
              <w:top w:val="nil"/>
              <w:left w:val="nil"/>
              <w:bottom w:val="single" w:sz="4" w:space="0" w:color="auto"/>
              <w:right w:val="single" w:sz="4" w:space="0" w:color="auto"/>
            </w:tcBorders>
            <w:shd w:val="clear" w:color="auto" w:fill="auto"/>
            <w:noWrap/>
            <w:vAlign w:val="bottom"/>
            <w:hideMark/>
          </w:tcPr>
          <w:p w14:paraId="20155C8F" w14:textId="7F79E951"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20.663</w:t>
            </w:r>
          </w:p>
        </w:tc>
      </w:tr>
      <w:tr w:rsidR="00BC121A" w:rsidRPr="002D6F59" w14:paraId="1DB20B89" w14:textId="77777777" w:rsidTr="00887542">
        <w:trPr>
          <w:trHeight w:val="300"/>
          <w:jc w:val="center"/>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14:paraId="2122FFE2" w14:textId="77777777" w:rsidR="00BC121A" w:rsidRPr="002D6F59" w:rsidRDefault="00BC121A" w:rsidP="00B17AB2">
            <w:pPr>
              <w:spacing w:line="276" w:lineRule="auto"/>
              <w:jc w:val="center"/>
              <w:rPr>
                <w:rFonts w:ascii="Century Gothic" w:hAnsi="Century Gothic" w:cs="Arial"/>
                <w:b/>
                <w:sz w:val="22"/>
                <w:szCs w:val="22"/>
                <w:lang w:val="es-CO"/>
              </w:rPr>
            </w:pPr>
            <w:r w:rsidRPr="002D6F59">
              <w:rPr>
                <w:rFonts w:ascii="Century Gothic" w:hAnsi="Century Gothic" w:cs="Arial"/>
                <w:b/>
                <w:sz w:val="22"/>
                <w:szCs w:val="22"/>
                <w:lang w:val="es-CO"/>
              </w:rPr>
              <w:t>2018</w:t>
            </w:r>
          </w:p>
        </w:tc>
        <w:tc>
          <w:tcPr>
            <w:tcW w:w="942" w:type="dxa"/>
            <w:tcBorders>
              <w:top w:val="nil"/>
              <w:left w:val="nil"/>
              <w:bottom w:val="single" w:sz="4" w:space="0" w:color="auto"/>
              <w:right w:val="single" w:sz="4" w:space="0" w:color="auto"/>
            </w:tcBorders>
            <w:shd w:val="clear" w:color="auto" w:fill="auto"/>
            <w:noWrap/>
            <w:vAlign w:val="bottom"/>
            <w:hideMark/>
          </w:tcPr>
          <w:p w14:paraId="56BF4E34" w14:textId="1D0D5C0C"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645</w:t>
            </w:r>
          </w:p>
        </w:tc>
        <w:tc>
          <w:tcPr>
            <w:tcW w:w="943" w:type="dxa"/>
            <w:tcBorders>
              <w:top w:val="nil"/>
              <w:left w:val="nil"/>
              <w:bottom w:val="single" w:sz="4" w:space="0" w:color="auto"/>
              <w:right w:val="single" w:sz="4" w:space="0" w:color="auto"/>
            </w:tcBorders>
            <w:shd w:val="clear" w:color="auto" w:fill="auto"/>
            <w:noWrap/>
            <w:vAlign w:val="bottom"/>
            <w:hideMark/>
          </w:tcPr>
          <w:p w14:paraId="0427F736" w14:textId="6A940CCC"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1.370</w:t>
            </w:r>
          </w:p>
        </w:tc>
        <w:tc>
          <w:tcPr>
            <w:tcW w:w="942" w:type="dxa"/>
            <w:tcBorders>
              <w:top w:val="nil"/>
              <w:left w:val="nil"/>
              <w:bottom w:val="single" w:sz="4" w:space="0" w:color="auto"/>
              <w:right w:val="single" w:sz="4" w:space="0" w:color="auto"/>
            </w:tcBorders>
            <w:shd w:val="clear" w:color="auto" w:fill="auto"/>
            <w:noWrap/>
            <w:vAlign w:val="bottom"/>
            <w:hideMark/>
          </w:tcPr>
          <w:p w14:paraId="0C438FB0" w14:textId="5EEC192B"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1.108</w:t>
            </w:r>
          </w:p>
        </w:tc>
        <w:tc>
          <w:tcPr>
            <w:tcW w:w="943" w:type="dxa"/>
            <w:tcBorders>
              <w:top w:val="nil"/>
              <w:left w:val="nil"/>
              <w:bottom w:val="single" w:sz="4" w:space="0" w:color="auto"/>
              <w:right w:val="single" w:sz="4" w:space="0" w:color="auto"/>
            </w:tcBorders>
            <w:shd w:val="clear" w:color="auto" w:fill="auto"/>
            <w:noWrap/>
            <w:vAlign w:val="bottom"/>
            <w:hideMark/>
          </w:tcPr>
          <w:p w14:paraId="16EC07D7" w14:textId="4ADDE320"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343</w:t>
            </w:r>
          </w:p>
        </w:tc>
        <w:tc>
          <w:tcPr>
            <w:tcW w:w="843" w:type="dxa"/>
            <w:tcBorders>
              <w:top w:val="nil"/>
              <w:left w:val="nil"/>
              <w:bottom w:val="single" w:sz="4" w:space="0" w:color="auto"/>
              <w:right w:val="single" w:sz="4" w:space="0" w:color="auto"/>
            </w:tcBorders>
            <w:shd w:val="clear" w:color="auto" w:fill="auto"/>
            <w:noWrap/>
            <w:vAlign w:val="bottom"/>
            <w:hideMark/>
          </w:tcPr>
          <w:p w14:paraId="77F57FB8" w14:textId="059D09DA"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2.275</w:t>
            </w:r>
          </w:p>
        </w:tc>
        <w:tc>
          <w:tcPr>
            <w:tcW w:w="844" w:type="dxa"/>
            <w:tcBorders>
              <w:top w:val="nil"/>
              <w:left w:val="nil"/>
              <w:bottom w:val="single" w:sz="4" w:space="0" w:color="auto"/>
              <w:right w:val="single" w:sz="4" w:space="0" w:color="auto"/>
            </w:tcBorders>
            <w:shd w:val="clear" w:color="auto" w:fill="auto"/>
            <w:noWrap/>
            <w:vAlign w:val="bottom"/>
            <w:hideMark/>
          </w:tcPr>
          <w:p w14:paraId="2031B406" w14:textId="4838B01E"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5.045</w:t>
            </w:r>
          </w:p>
        </w:tc>
        <w:tc>
          <w:tcPr>
            <w:tcW w:w="843" w:type="dxa"/>
            <w:tcBorders>
              <w:top w:val="nil"/>
              <w:left w:val="nil"/>
              <w:bottom w:val="single" w:sz="4" w:space="0" w:color="auto"/>
              <w:right w:val="single" w:sz="4" w:space="0" w:color="auto"/>
            </w:tcBorders>
            <w:shd w:val="clear" w:color="auto" w:fill="auto"/>
            <w:noWrap/>
            <w:vAlign w:val="bottom"/>
            <w:hideMark/>
          </w:tcPr>
          <w:p w14:paraId="2DD41F86" w14:textId="632EBE5D"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9.350</w:t>
            </w:r>
          </w:p>
        </w:tc>
        <w:tc>
          <w:tcPr>
            <w:tcW w:w="844" w:type="dxa"/>
            <w:tcBorders>
              <w:top w:val="nil"/>
              <w:left w:val="nil"/>
              <w:bottom w:val="single" w:sz="4" w:space="0" w:color="auto"/>
              <w:right w:val="single" w:sz="4" w:space="0" w:color="auto"/>
            </w:tcBorders>
            <w:shd w:val="clear" w:color="auto" w:fill="auto"/>
            <w:noWrap/>
            <w:vAlign w:val="bottom"/>
            <w:hideMark/>
          </w:tcPr>
          <w:p w14:paraId="3DCA2D40" w14:textId="13E82531" w:rsidR="00BC121A" w:rsidRPr="002D6F59" w:rsidRDefault="00BC121A" w:rsidP="00B17AB2">
            <w:pPr>
              <w:spacing w:line="276" w:lineRule="auto"/>
              <w:jc w:val="center"/>
              <w:rPr>
                <w:rFonts w:ascii="Century Gothic" w:hAnsi="Century Gothic" w:cs="Arial"/>
                <w:sz w:val="22"/>
                <w:szCs w:val="22"/>
                <w:lang w:val="es-CO"/>
              </w:rPr>
            </w:pPr>
            <w:r w:rsidRPr="002D6F59">
              <w:rPr>
                <w:rFonts w:ascii="Century Gothic" w:hAnsi="Century Gothic" w:cs="Arial"/>
                <w:sz w:val="22"/>
                <w:szCs w:val="22"/>
                <w:lang w:val="es-CO"/>
              </w:rPr>
              <w:t>2.658</w:t>
            </w:r>
          </w:p>
        </w:tc>
        <w:tc>
          <w:tcPr>
            <w:tcW w:w="937" w:type="dxa"/>
            <w:tcBorders>
              <w:top w:val="nil"/>
              <w:left w:val="nil"/>
              <w:bottom w:val="single" w:sz="4" w:space="0" w:color="auto"/>
              <w:right w:val="single" w:sz="4" w:space="0" w:color="auto"/>
            </w:tcBorders>
            <w:shd w:val="clear" w:color="auto" w:fill="auto"/>
            <w:noWrap/>
            <w:vAlign w:val="bottom"/>
            <w:hideMark/>
          </w:tcPr>
          <w:p w14:paraId="1036B45D" w14:textId="0EB951E0" w:rsidR="00BC121A" w:rsidRPr="002D6F59" w:rsidRDefault="00BC121A" w:rsidP="00B17AB2">
            <w:pPr>
              <w:spacing w:line="276" w:lineRule="auto"/>
              <w:jc w:val="center"/>
              <w:rPr>
                <w:rFonts w:ascii="Century Gothic" w:hAnsi="Century Gothic" w:cs="Arial"/>
                <w:b/>
                <w:bCs/>
                <w:sz w:val="22"/>
                <w:szCs w:val="22"/>
                <w:lang w:val="es-CO"/>
              </w:rPr>
            </w:pPr>
            <w:r w:rsidRPr="002D6F59">
              <w:rPr>
                <w:rFonts w:ascii="Century Gothic" w:hAnsi="Century Gothic" w:cs="Arial"/>
                <w:b/>
                <w:bCs/>
                <w:sz w:val="22"/>
                <w:szCs w:val="22"/>
                <w:lang w:val="es-CO"/>
              </w:rPr>
              <w:t>22.794</w:t>
            </w:r>
          </w:p>
        </w:tc>
      </w:tr>
    </w:tbl>
    <w:p w14:paraId="52713FA4" w14:textId="77777777" w:rsidR="00BC121A" w:rsidRPr="002D6F59" w:rsidRDefault="00BC121A" w:rsidP="00B17AB2">
      <w:pPr>
        <w:spacing w:line="276" w:lineRule="auto"/>
        <w:jc w:val="both"/>
        <w:rPr>
          <w:rFonts w:ascii="Century Gothic" w:hAnsi="Century Gothic" w:cs="Arial"/>
          <w:sz w:val="18"/>
          <w:szCs w:val="18"/>
        </w:rPr>
      </w:pPr>
      <w:r w:rsidRPr="002D6F59">
        <w:rPr>
          <w:rFonts w:ascii="Century Gothic" w:hAnsi="Century Gothic" w:cs="Arial"/>
          <w:b/>
          <w:sz w:val="18"/>
          <w:szCs w:val="18"/>
        </w:rPr>
        <w:t xml:space="preserve">Tabla 3: </w:t>
      </w:r>
      <w:r w:rsidRPr="002D6F59">
        <w:rPr>
          <w:rFonts w:ascii="Century Gothic" w:hAnsi="Century Gothic" w:cs="Arial"/>
          <w:sz w:val="18"/>
          <w:szCs w:val="18"/>
        </w:rPr>
        <w:t>Exámenes médico legales sexológicos por presunto delito sexual por grupos de edad y sexo de la víctima Elaboración: OPC. Fuente: Instituto Nacional de Medicina Legal y Ciencias Forenses – INMLCF</w:t>
      </w:r>
    </w:p>
    <w:p w14:paraId="5C8A9377" w14:textId="77777777" w:rsidR="00BC121A" w:rsidRPr="002D6F59" w:rsidRDefault="00BC121A" w:rsidP="00B17AB2">
      <w:pPr>
        <w:jc w:val="both"/>
        <w:rPr>
          <w:rFonts w:ascii="Century Gothic" w:hAnsi="Century Gothic" w:cs="Arial"/>
        </w:rPr>
      </w:pPr>
    </w:p>
    <w:p w14:paraId="4B48256E" w14:textId="716292CF"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De las anteriores cifras se puede concluir que existe una tendencia al alza en los delitos sexuales en los que las víctimas son menores de edad, razón por la cual resulta necesario tomar medidas que protejan a los niños, niñas, y adolescentes del país. Desde luego, estas medidas abarcan diferentes ámbitos, como por ejemplo el mejoramiento de l</w:t>
      </w:r>
      <w:r w:rsidR="00887542" w:rsidRPr="002D6F59">
        <w:rPr>
          <w:rFonts w:ascii="Century Gothic" w:hAnsi="Century Gothic" w:cs="Arial"/>
        </w:rPr>
        <w:t>as capacidades investigativas, e</w:t>
      </w:r>
      <w:r w:rsidRPr="002D6F59">
        <w:rPr>
          <w:rFonts w:ascii="Century Gothic" w:hAnsi="Century Gothic" w:cs="Arial"/>
        </w:rPr>
        <w:t xml:space="preserve">l aumento </w:t>
      </w:r>
      <w:r w:rsidR="002442EA" w:rsidRPr="002D6F59">
        <w:rPr>
          <w:rFonts w:ascii="Century Gothic" w:hAnsi="Century Gothic" w:cs="Arial"/>
        </w:rPr>
        <w:t>de la</w:t>
      </w:r>
      <w:r w:rsidRPr="002D6F59">
        <w:rPr>
          <w:rFonts w:ascii="Century Gothic" w:hAnsi="Century Gothic" w:cs="Arial"/>
        </w:rPr>
        <w:t xml:space="preserve"> ef</w:t>
      </w:r>
      <w:r w:rsidR="00887542" w:rsidRPr="002D6F59">
        <w:rPr>
          <w:rFonts w:ascii="Century Gothic" w:hAnsi="Century Gothic" w:cs="Arial"/>
        </w:rPr>
        <w:t xml:space="preserve">icacia del sistema de justicia y la </w:t>
      </w:r>
      <w:r w:rsidRPr="002D6F59">
        <w:rPr>
          <w:rFonts w:ascii="Century Gothic" w:hAnsi="Century Gothic" w:cs="Arial"/>
        </w:rPr>
        <w:t xml:space="preserve">educación respecto a la protección de los bienes jurídicos de los menores, etc. Entre estas y muchas medidas, se considera necesario el aumento de la capacidad punitiva del Estado, tanto como herramienta disuasoria para la sociedad, así como también al </w:t>
      </w:r>
      <w:r w:rsidR="002442EA" w:rsidRPr="002D6F59">
        <w:rPr>
          <w:rFonts w:ascii="Century Gothic" w:hAnsi="Century Gothic" w:cs="Arial"/>
        </w:rPr>
        <w:t>ser mecanismo</w:t>
      </w:r>
      <w:r w:rsidRPr="002D6F59">
        <w:rPr>
          <w:rFonts w:ascii="Century Gothic" w:hAnsi="Century Gothic" w:cs="Arial"/>
        </w:rPr>
        <w:t xml:space="preserve"> qué evita la reincidencia en estos delitos.</w:t>
      </w:r>
    </w:p>
    <w:p w14:paraId="29D0C7B3" w14:textId="77777777" w:rsidR="00BC121A" w:rsidRPr="002D6F59" w:rsidRDefault="00BC121A" w:rsidP="00B17AB2">
      <w:pPr>
        <w:spacing w:line="276" w:lineRule="auto"/>
        <w:jc w:val="both"/>
        <w:rPr>
          <w:rFonts w:ascii="Century Gothic" w:hAnsi="Century Gothic" w:cs="Arial"/>
        </w:rPr>
      </w:pPr>
    </w:p>
    <w:p w14:paraId="1DAA525E" w14:textId="7B3741F0" w:rsidR="009C0307" w:rsidRPr="002D6F59" w:rsidRDefault="00B17AB2" w:rsidP="00B17AB2">
      <w:pPr>
        <w:spacing w:line="276" w:lineRule="auto"/>
        <w:jc w:val="both"/>
        <w:rPr>
          <w:rFonts w:ascii="Century Gothic" w:eastAsia="Calibri" w:hAnsi="Century Gothic" w:cs="Arial"/>
          <w:lang w:val="es-CO" w:eastAsia="en-US"/>
        </w:rPr>
      </w:pPr>
      <w:r w:rsidRPr="002D6F59">
        <w:rPr>
          <w:rFonts w:ascii="Century Gothic" w:eastAsia="Calibri" w:hAnsi="Century Gothic" w:cs="Arial"/>
          <w:lang w:val="es-CO" w:eastAsia="en-US"/>
        </w:rPr>
        <w:t>Otro de los flagelos que afecta</w:t>
      </w:r>
      <w:r w:rsidR="009C0307" w:rsidRPr="002D6F59">
        <w:rPr>
          <w:rFonts w:ascii="Century Gothic" w:eastAsia="Calibri" w:hAnsi="Century Gothic" w:cs="Arial"/>
          <w:lang w:val="es-CO" w:eastAsia="en-US"/>
        </w:rPr>
        <w:t xml:space="preserve"> a los niños, niñas y adolescentes es el homicidio, conducta que para el año 2018, según el </w:t>
      </w:r>
      <w:r w:rsidR="009C0307" w:rsidRPr="002D6F59">
        <w:rPr>
          <w:rFonts w:ascii="Century Gothic" w:hAnsi="Century Gothic" w:cs="Arial"/>
        </w:rPr>
        <w:t xml:space="preserve">Instituto Nacional de Medicina Legal y Ciencias Forenses, se presentó en </w:t>
      </w:r>
      <w:r w:rsidR="009C0307" w:rsidRPr="002D6F59">
        <w:rPr>
          <w:rFonts w:ascii="Century Gothic" w:eastAsia="Calibri" w:hAnsi="Century Gothic" w:cs="Arial"/>
          <w:b/>
          <w:lang w:val="es-CO" w:eastAsia="en-US"/>
        </w:rPr>
        <w:t>713 casos</w:t>
      </w:r>
      <w:r w:rsidR="009C0307" w:rsidRPr="002D6F59">
        <w:rPr>
          <w:rFonts w:ascii="Century Gothic" w:eastAsia="Calibri" w:hAnsi="Century Gothic" w:cs="Arial"/>
          <w:lang w:val="es-CO" w:eastAsia="en-US"/>
        </w:rPr>
        <w:t xml:space="preserve">, de los cuales 596 correspondieron al sexo masculino y 114 al sexo femenino: </w:t>
      </w:r>
    </w:p>
    <w:p w14:paraId="2A269CB1" w14:textId="77777777" w:rsidR="009C0307" w:rsidRPr="002D6F59" w:rsidRDefault="009C0307" w:rsidP="00A4664D">
      <w:pPr>
        <w:jc w:val="both"/>
        <w:rPr>
          <w:rFonts w:ascii="Century Gothic" w:eastAsia="Calibri" w:hAnsi="Century Gothic" w:cs="Arial"/>
          <w:lang w:val="es-CO" w:eastAsia="en-US"/>
        </w:rPr>
      </w:pPr>
    </w:p>
    <w:tbl>
      <w:tblPr>
        <w:tblW w:w="5732" w:type="dxa"/>
        <w:jc w:val="center"/>
        <w:tblCellMar>
          <w:left w:w="70" w:type="dxa"/>
          <w:right w:w="70" w:type="dxa"/>
        </w:tblCellMar>
        <w:tblLook w:val="04A0" w:firstRow="1" w:lastRow="0" w:firstColumn="1" w:lastColumn="0" w:noHBand="0" w:noVBand="1"/>
      </w:tblPr>
      <w:tblGrid>
        <w:gridCol w:w="1396"/>
        <w:gridCol w:w="1047"/>
        <w:gridCol w:w="781"/>
        <w:gridCol w:w="1794"/>
        <w:gridCol w:w="714"/>
      </w:tblGrid>
      <w:tr w:rsidR="009C0307" w:rsidRPr="002D6F59" w14:paraId="007845A4" w14:textId="77777777" w:rsidTr="009C0307">
        <w:trPr>
          <w:trHeight w:val="300"/>
          <w:jc w:val="center"/>
        </w:trPr>
        <w:tc>
          <w:tcPr>
            <w:tcW w:w="1396" w:type="dxa"/>
            <w:tcBorders>
              <w:top w:val="single" w:sz="4" w:space="0" w:color="auto"/>
              <w:left w:val="single" w:sz="8" w:space="0" w:color="auto"/>
              <w:bottom w:val="single" w:sz="4" w:space="0" w:color="auto"/>
              <w:right w:val="single" w:sz="8" w:space="0" w:color="auto"/>
            </w:tcBorders>
            <w:shd w:val="clear" w:color="auto" w:fill="auto"/>
            <w:vAlign w:val="center"/>
          </w:tcPr>
          <w:p w14:paraId="26560326" w14:textId="77777777" w:rsidR="009C0307" w:rsidRPr="002D6F59" w:rsidRDefault="009C0307" w:rsidP="00B17AB2">
            <w:pPr>
              <w:spacing w:line="276" w:lineRule="auto"/>
              <w:ind w:firstLineChars="100" w:firstLine="200"/>
              <w:jc w:val="center"/>
              <w:rPr>
                <w:rFonts w:ascii="Century Gothic" w:eastAsia="Times New Roman" w:hAnsi="Century Gothic" w:cs="Arial"/>
                <w:b/>
                <w:sz w:val="20"/>
                <w:szCs w:val="20"/>
                <w:lang w:val="es-CO" w:eastAsia="es-CO"/>
              </w:rPr>
            </w:pPr>
            <w:r w:rsidRPr="002D6F59">
              <w:rPr>
                <w:rFonts w:ascii="Century Gothic" w:eastAsia="Times New Roman" w:hAnsi="Century Gothic" w:cs="Arial"/>
                <w:b/>
                <w:sz w:val="20"/>
                <w:szCs w:val="20"/>
                <w:lang w:val="es-CO" w:eastAsia="es-CO"/>
              </w:rPr>
              <w:t>Edad</w:t>
            </w:r>
          </w:p>
        </w:tc>
        <w:tc>
          <w:tcPr>
            <w:tcW w:w="1047" w:type="dxa"/>
            <w:tcBorders>
              <w:top w:val="single" w:sz="4" w:space="0" w:color="auto"/>
              <w:left w:val="single" w:sz="4" w:space="0" w:color="auto"/>
              <w:bottom w:val="single" w:sz="4" w:space="0" w:color="auto"/>
              <w:right w:val="single" w:sz="4" w:space="0" w:color="auto"/>
            </w:tcBorders>
            <w:shd w:val="clear" w:color="000000" w:fill="FDECE3"/>
            <w:noWrap/>
            <w:vAlign w:val="center"/>
          </w:tcPr>
          <w:p w14:paraId="4CC3A245" w14:textId="77777777" w:rsidR="009C0307" w:rsidRPr="002D6F59" w:rsidRDefault="009C0307" w:rsidP="00B17AB2">
            <w:pPr>
              <w:spacing w:line="276" w:lineRule="auto"/>
              <w:jc w:val="center"/>
              <w:rPr>
                <w:rFonts w:ascii="Century Gothic" w:eastAsia="Times New Roman" w:hAnsi="Century Gothic" w:cs="Arial"/>
                <w:b/>
                <w:color w:val="000000"/>
                <w:sz w:val="20"/>
                <w:szCs w:val="20"/>
                <w:lang w:val="es-CO" w:eastAsia="es-CO"/>
              </w:rPr>
            </w:pPr>
            <w:r w:rsidRPr="002D6F59">
              <w:rPr>
                <w:rFonts w:ascii="Century Gothic" w:eastAsia="Times New Roman" w:hAnsi="Century Gothic" w:cs="Arial"/>
                <w:b/>
                <w:color w:val="000000"/>
                <w:sz w:val="20"/>
                <w:szCs w:val="20"/>
                <w:lang w:val="es-CO" w:eastAsia="es-CO"/>
              </w:rPr>
              <w:t>Hombre</w:t>
            </w:r>
          </w:p>
        </w:tc>
        <w:tc>
          <w:tcPr>
            <w:tcW w:w="781" w:type="dxa"/>
            <w:tcBorders>
              <w:top w:val="single" w:sz="4" w:space="0" w:color="auto"/>
              <w:left w:val="nil"/>
              <w:bottom w:val="single" w:sz="4" w:space="0" w:color="auto"/>
              <w:right w:val="single" w:sz="4" w:space="0" w:color="auto"/>
            </w:tcBorders>
            <w:shd w:val="clear" w:color="000000" w:fill="FDECE3"/>
            <w:noWrap/>
            <w:vAlign w:val="center"/>
          </w:tcPr>
          <w:p w14:paraId="08350643" w14:textId="77777777" w:rsidR="009C0307" w:rsidRPr="002D6F59" w:rsidRDefault="009C0307" w:rsidP="00B17AB2">
            <w:pPr>
              <w:spacing w:line="276" w:lineRule="auto"/>
              <w:jc w:val="center"/>
              <w:rPr>
                <w:rFonts w:ascii="Century Gothic" w:eastAsia="Times New Roman" w:hAnsi="Century Gothic" w:cs="Arial"/>
                <w:b/>
                <w:color w:val="000000"/>
                <w:sz w:val="20"/>
                <w:szCs w:val="20"/>
                <w:lang w:val="es-CO" w:eastAsia="es-CO"/>
              </w:rPr>
            </w:pPr>
            <w:r w:rsidRPr="002D6F59">
              <w:rPr>
                <w:rFonts w:ascii="Century Gothic" w:eastAsia="Times New Roman" w:hAnsi="Century Gothic" w:cs="Arial"/>
                <w:b/>
                <w:color w:val="000000"/>
                <w:sz w:val="20"/>
                <w:szCs w:val="20"/>
                <w:lang w:val="es-CO" w:eastAsia="es-CO"/>
              </w:rPr>
              <w:t>Mujer</w:t>
            </w:r>
          </w:p>
        </w:tc>
        <w:tc>
          <w:tcPr>
            <w:tcW w:w="1794" w:type="dxa"/>
            <w:tcBorders>
              <w:top w:val="single" w:sz="4" w:space="0" w:color="auto"/>
              <w:left w:val="nil"/>
              <w:bottom w:val="single" w:sz="4" w:space="0" w:color="auto"/>
              <w:right w:val="nil"/>
            </w:tcBorders>
            <w:shd w:val="clear" w:color="000000" w:fill="FDECE3"/>
            <w:noWrap/>
            <w:vAlign w:val="center"/>
          </w:tcPr>
          <w:p w14:paraId="753DFFF8" w14:textId="77777777" w:rsidR="009C0307" w:rsidRPr="002D6F59" w:rsidRDefault="009C0307" w:rsidP="00B17AB2">
            <w:pPr>
              <w:spacing w:line="276" w:lineRule="auto"/>
              <w:jc w:val="center"/>
              <w:rPr>
                <w:rFonts w:ascii="Century Gothic" w:eastAsia="Times New Roman" w:hAnsi="Century Gothic" w:cs="Arial"/>
                <w:b/>
                <w:color w:val="000000"/>
                <w:sz w:val="20"/>
                <w:szCs w:val="20"/>
                <w:lang w:val="es-CO" w:eastAsia="es-CO"/>
              </w:rPr>
            </w:pPr>
            <w:r w:rsidRPr="002D6F59">
              <w:rPr>
                <w:rFonts w:ascii="Century Gothic" w:eastAsia="Times New Roman" w:hAnsi="Century Gothic" w:cs="Arial"/>
                <w:b/>
                <w:color w:val="000000"/>
                <w:sz w:val="20"/>
                <w:szCs w:val="20"/>
                <w:lang w:val="es-CO" w:eastAsia="es-CO"/>
              </w:rPr>
              <w:t>Indeterminado</w:t>
            </w:r>
          </w:p>
        </w:tc>
        <w:tc>
          <w:tcPr>
            <w:tcW w:w="714" w:type="dxa"/>
            <w:tcBorders>
              <w:top w:val="single" w:sz="4" w:space="0" w:color="auto"/>
              <w:left w:val="single" w:sz="4" w:space="0" w:color="auto"/>
              <w:bottom w:val="single" w:sz="4" w:space="0" w:color="auto"/>
              <w:right w:val="single" w:sz="8" w:space="0" w:color="auto"/>
            </w:tcBorders>
            <w:shd w:val="clear" w:color="000000" w:fill="ABD9D8"/>
            <w:noWrap/>
            <w:vAlign w:val="center"/>
          </w:tcPr>
          <w:p w14:paraId="6691BFCF" w14:textId="77777777" w:rsidR="009C0307" w:rsidRPr="002D6F59" w:rsidRDefault="009C0307" w:rsidP="00B17AB2">
            <w:pPr>
              <w:spacing w:line="276" w:lineRule="auto"/>
              <w:jc w:val="center"/>
              <w:rPr>
                <w:rFonts w:ascii="Century Gothic" w:eastAsia="Times New Roman" w:hAnsi="Century Gothic" w:cs="Arial"/>
                <w:b/>
                <w:bCs/>
                <w:color w:val="000000"/>
                <w:sz w:val="20"/>
                <w:szCs w:val="20"/>
                <w:lang w:val="es-CO" w:eastAsia="es-CO"/>
              </w:rPr>
            </w:pPr>
            <w:r w:rsidRPr="002D6F59">
              <w:rPr>
                <w:rFonts w:ascii="Century Gothic" w:eastAsia="Times New Roman" w:hAnsi="Century Gothic" w:cs="Arial"/>
                <w:b/>
                <w:bCs/>
                <w:color w:val="000000"/>
                <w:sz w:val="20"/>
                <w:szCs w:val="20"/>
                <w:lang w:val="es-CO" w:eastAsia="es-CO"/>
              </w:rPr>
              <w:t>Total</w:t>
            </w:r>
          </w:p>
        </w:tc>
      </w:tr>
      <w:tr w:rsidR="009C0307" w:rsidRPr="002D6F59" w14:paraId="029329B3" w14:textId="77777777" w:rsidTr="009C0307">
        <w:trPr>
          <w:trHeight w:val="300"/>
          <w:jc w:val="center"/>
        </w:trPr>
        <w:tc>
          <w:tcPr>
            <w:tcW w:w="1396" w:type="dxa"/>
            <w:tcBorders>
              <w:top w:val="single" w:sz="4" w:space="0" w:color="auto"/>
              <w:left w:val="single" w:sz="8" w:space="0" w:color="auto"/>
              <w:bottom w:val="single" w:sz="4" w:space="0" w:color="auto"/>
              <w:right w:val="single" w:sz="8" w:space="0" w:color="auto"/>
            </w:tcBorders>
            <w:shd w:val="clear" w:color="auto" w:fill="auto"/>
            <w:vAlign w:val="center"/>
          </w:tcPr>
          <w:p w14:paraId="21144519" w14:textId="77777777" w:rsidR="009C0307" w:rsidRPr="002D6F59" w:rsidRDefault="009C0307" w:rsidP="00B17AB2">
            <w:pPr>
              <w:spacing w:line="276" w:lineRule="auto"/>
              <w:ind w:firstLineChars="100" w:firstLine="200"/>
              <w:jc w:val="center"/>
              <w:rPr>
                <w:rFonts w:ascii="Century Gothic" w:eastAsia="Times New Roman" w:hAnsi="Century Gothic" w:cs="Arial"/>
                <w:sz w:val="20"/>
                <w:szCs w:val="20"/>
                <w:lang w:val="es-CO" w:eastAsia="es-CO"/>
              </w:rPr>
            </w:pPr>
            <w:r w:rsidRPr="002D6F59">
              <w:rPr>
                <w:rFonts w:ascii="Century Gothic" w:eastAsia="Times New Roman" w:hAnsi="Century Gothic" w:cs="Arial"/>
                <w:sz w:val="20"/>
                <w:szCs w:val="20"/>
                <w:lang w:val="es-CO" w:eastAsia="es-CO"/>
              </w:rPr>
              <w:t>(00 a 04)</w:t>
            </w:r>
          </w:p>
        </w:tc>
        <w:tc>
          <w:tcPr>
            <w:tcW w:w="1047" w:type="dxa"/>
            <w:tcBorders>
              <w:top w:val="single" w:sz="4" w:space="0" w:color="auto"/>
              <w:left w:val="single" w:sz="4" w:space="0" w:color="auto"/>
              <w:bottom w:val="single" w:sz="4" w:space="0" w:color="auto"/>
              <w:right w:val="single" w:sz="4" w:space="0" w:color="auto"/>
            </w:tcBorders>
            <w:shd w:val="clear" w:color="000000" w:fill="FDECE3"/>
            <w:noWrap/>
            <w:vAlign w:val="center"/>
          </w:tcPr>
          <w:p w14:paraId="21ABA37B"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32</w:t>
            </w:r>
          </w:p>
        </w:tc>
        <w:tc>
          <w:tcPr>
            <w:tcW w:w="781" w:type="dxa"/>
            <w:tcBorders>
              <w:top w:val="single" w:sz="4" w:space="0" w:color="auto"/>
              <w:left w:val="nil"/>
              <w:bottom w:val="single" w:sz="4" w:space="0" w:color="auto"/>
              <w:right w:val="single" w:sz="4" w:space="0" w:color="auto"/>
            </w:tcBorders>
            <w:shd w:val="clear" w:color="000000" w:fill="FDECE3"/>
            <w:noWrap/>
            <w:vAlign w:val="center"/>
          </w:tcPr>
          <w:p w14:paraId="50AB6B07"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23</w:t>
            </w:r>
          </w:p>
        </w:tc>
        <w:tc>
          <w:tcPr>
            <w:tcW w:w="1794" w:type="dxa"/>
            <w:tcBorders>
              <w:top w:val="single" w:sz="4" w:space="0" w:color="auto"/>
              <w:left w:val="nil"/>
              <w:bottom w:val="single" w:sz="4" w:space="0" w:color="auto"/>
              <w:right w:val="nil"/>
            </w:tcBorders>
            <w:shd w:val="clear" w:color="000000" w:fill="FDECE3"/>
            <w:noWrap/>
            <w:vAlign w:val="center"/>
          </w:tcPr>
          <w:p w14:paraId="5B35DCB9"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w:t>
            </w:r>
          </w:p>
        </w:tc>
        <w:tc>
          <w:tcPr>
            <w:tcW w:w="714" w:type="dxa"/>
            <w:tcBorders>
              <w:top w:val="single" w:sz="4" w:space="0" w:color="auto"/>
              <w:left w:val="single" w:sz="4" w:space="0" w:color="auto"/>
              <w:bottom w:val="single" w:sz="4" w:space="0" w:color="auto"/>
              <w:right w:val="single" w:sz="8" w:space="0" w:color="auto"/>
            </w:tcBorders>
            <w:shd w:val="clear" w:color="000000" w:fill="ABD9D8"/>
            <w:noWrap/>
            <w:vAlign w:val="center"/>
          </w:tcPr>
          <w:p w14:paraId="3C617A07" w14:textId="77777777" w:rsidR="009C0307" w:rsidRPr="002D6F59" w:rsidRDefault="009C0307" w:rsidP="00B17AB2">
            <w:pPr>
              <w:spacing w:line="276" w:lineRule="auto"/>
              <w:jc w:val="center"/>
              <w:rPr>
                <w:rFonts w:ascii="Century Gothic" w:eastAsia="Times New Roman" w:hAnsi="Century Gothic" w:cs="Arial"/>
                <w:b/>
                <w:bCs/>
                <w:color w:val="000000"/>
                <w:sz w:val="20"/>
                <w:szCs w:val="20"/>
                <w:lang w:val="es-CO" w:eastAsia="es-CO"/>
              </w:rPr>
            </w:pPr>
            <w:r w:rsidRPr="002D6F59">
              <w:rPr>
                <w:rFonts w:ascii="Century Gothic" w:eastAsia="Times New Roman" w:hAnsi="Century Gothic" w:cs="Arial"/>
                <w:b/>
                <w:bCs/>
                <w:color w:val="000000"/>
                <w:sz w:val="20"/>
                <w:szCs w:val="20"/>
                <w:lang w:val="es-CO" w:eastAsia="es-CO"/>
              </w:rPr>
              <w:t>55</w:t>
            </w:r>
          </w:p>
        </w:tc>
      </w:tr>
      <w:tr w:rsidR="009C0307" w:rsidRPr="002D6F59" w14:paraId="2593F989" w14:textId="77777777" w:rsidTr="009C0307">
        <w:trPr>
          <w:trHeight w:val="300"/>
          <w:jc w:val="center"/>
        </w:trPr>
        <w:tc>
          <w:tcPr>
            <w:tcW w:w="1396" w:type="dxa"/>
            <w:tcBorders>
              <w:top w:val="nil"/>
              <w:left w:val="single" w:sz="8" w:space="0" w:color="auto"/>
              <w:bottom w:val="single" w:sz="4" w:space="0" w:color="auto"/>
              <w:right w:val="single" w:sz="8" w:space="0" w:color="auto"/>
            </w:tcBorders>
            <w:shd w:val="clear" w:color="auto" w:fill="auto"/>
            <w:vAlign w:val="center"/>
            <w:hideMark/>
          </w:tcPr>
          <w:p w14:paraId="62B3729F" w14:textId="77777777" w:rsidR="009C0307" w:rsidRPr="002D6F59" w:rsidRDefault="009C0307" w:rsidP="00B17AB2">
            <w:pPr>
              <w:spacing w:line="276" w:lineRule="auto"/>
              <w:ind w:firstLineChars="100" w:firstLine="200"/>
              <w:jc w:val="center"/>
              <w:rPr>
                <w:rFonts w:ascii="Century Gothic" w:eastAsia="Times New Roman" w:hAnsi="Century Gothic" w:cs="Arial"/>
                <w:sz w:val="20"/>
                <w:szCs w:val="20"/>
                <w:lang w:val="es-CO" w:eastAsia="es-CO"/>
              </w:rPr>
            </w:pPr>
            <w:r w:rsidRPr="002D6F59">
              <w:rPr>
                <w:rFonts w:ascii="Century Gothic" w:eastAsia="Times New Roman" w:hAnsi="Century Gothic" w:cs="Arial"/>
                <w:sz w:val="20"/>
                <w:szCs w:val="20"/>
                <w:lang w:val="es-CO" w:eastAsia="es-CO"/>
              </w:rPr>
              <w:t>(05 a 09)</w:t>
            </w:r>
          </w:p>
        </w:tc>
        <w:tc>
          <w:tcPr>
            <w:tcW w:w="1047" w:type="dxa"/>
            <w:tcBorders>
              <w:top w:val="nil"/>
              <w:left w:val="single" w:sz="4" w:space="0" w:color="auto"/>
              <w:bottom w:val="single" w:sz="4" w:space="0" w:color="auto"/>
              <w:right w:val="single" w:sz="4" w:space="0" w:color="auto"/>
            </w:tcBorders>
            <w:shd w:val="clear" w:color="000000" w:fill="FDECE3"/>
            <w:noWrap/>
            <w:vAlign w:val="center"/>
            <w:hideMark/>
          </w:tcPr>
          <w:p w14:paraId="19411941"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15</w:t>
            </w:r>
          </w:p>
        </w:tc>
        <w:tc>
          <w:tcPr>
            <w:tcW w:w="781" w:type="dxa"/>
            <w:tcBorders>
              <w:top w:val="nil"/>
              <w:left w:val="nil"/>
              <w:bottom w:val="single" w:sz="4" w:space="0" w:color="auto"/>
              <w:right w:val="single" w:sz="4" w:space="0" w:color="auto"/>
            </w:tcBorders>
            <w:shd w:val="clear" w:color="000000" w:fill="FDECE3"/>
            <w:noWrap/>
            <w:vAlign w:val="center"/>
            <w:hideMark/>
          </w:tcPr>
          <w:p w14:paraId="717294C6"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8</w:t>
            </w:r>
          </w:p>
        </w:tc>
        <w:tc>
          <w:tcPr>
            <w:tcW w:w="1794" w:type="dxa"/>
            <w:tcBorders>
              <w:top w:val="nil"/>
              <w:left w:val="nil"/>
              <w:bottom w:val="single" w:sz="4" w:space="0" w:color="auto"/>
              <w:right w:val="nil"/>
            </w:tcBorders>
            <w:shd w:val="clear" w:color="000000" w:fill="FDECE3"/>
            <w:noWrap/>
            <w:vAlign w:val="center"/>
            <w:hideMark/>
          </w:tcPr>
          <w:p w14:paraId="53C258AE"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w:t>
            </w:r>
          </w:p>
        </w:tc>
        <w:tc>
          <w:tcPr>
            <w:tcW w:w="714" w:type="dxa"/>
            <w:tcBorders>
              <w:top w:val="nil"/>
              <w:left w:val="single" w:sz="4" w:space="0" w:color="auto"/>
              <w:bottom w:val="single" w:sz="4" w:space="0" w:color="auto"/>
              <w:right w:val="single" w:sz="8" w:space="0" w:color="auto"/>
            </w:tcBorders>
            <w:shd w:val="clear" w:color="000000" w:fill="ABD9D8"/>
            <w:noWrap/>
            <w:vAlign w:val="center"/>
            <w:hideMark/>
          </w:tcPr>
          <w:p w14:paraId="61D0E2A7" w14:textId="77777777" w:rsidR="009C0307" w:rsidRPr="002D6F59" w:rsidRDefault="009C0307" w:rsidP="00B17AB2">
            <w:pPr>
              <w:spacing w:line="276" w:lineRule="auto"/>
              <w:jc w:val="center"/>
              <w:rPr>
                <w:rFonts w:ascii="Century Gothic" w:eastAsia="Times New Roman" w:hAnsi="Century Gothic" w:cs="Arial"/>
                <w:b/>
                <w:bCs/>
                <w:color w:val="000000"/>
                <w:sz w:val="20"/>
                <w:szCs w:val="20"/>
                <w:lang w:val="es-CO" w:eastAsia="es-CO"/>
              </w:rPr>
            </w:pPr>
            <w:r w:rsidRPr="002D6F59">
              <w:rPr>
                <w:rFonts w:ascii="Century Gothic" w:eastAsia="Times New Roman" w:hAnsi="Century Gothic" w:cs="Arial"/>
                <w:b/>
                <w:bCs/>
                <w:color w:val="000000"/>
                <w:sz w:val="20"/>
                <w:szCs w:val="20"/>
                <w:lang w:val="es-CO" w:eastAsia="es-CO"/>
              </w:rPr>
              <w:t>23</w:t>
            </w:r>
          </w:p>
        </w:tc>
      </w:tr>
      <w:tr w:rsidR="009C0307" w:rsidRPr="002D6F59" w14:paraId="7E92C6D2" w14:textId="77777777" w:rsidTr="009C0307">
        <w:trPr>
          <w:trHeight w:val="300"/>
          <w:jc w:val="center"/>
        </w:trPr>
        <w:tc>
          <w:tcPr>
            <w:tcW w:w="1396" w:type="dxa"/>
            <w:tcBorders>
              <w:top w:val="nil"/>
              <w:left w:val="single" w:sz="8" w:space="0" w:color="auto"/>
              <w:bottom w:val="single" w:sz="4" w:space="0" w:color="auto"/>
              <w:right w:val="single" w:sz="8" w:space="0" w:color="auto"/>
            </w:tcBorders>
            <w:shd w:val="clear" w:color="auto" w:fill="auto"/>
            <w:vAlign w:val="center"/>
            <w:hideMark/>
          </w:tcPr>
          <w:p w14:paraId="38D8C095" w14:textId="77777777" w:rsidR="009C0307" w:rsidRPr="002D6F59" w:rsidRDefault="009C0307" w:rsidP="00B17AB2">
            <w:pPr>
              <w:spacing w:line="276" w:lineRule="auto"/>
              <w:ind w:firstLineChars="100" w:firstLine="200"/>
              <w:jc w:val="center"/>
              <w:rPr>
                <w:rFonts w:ascii="Century Gothic" w:eastAsia="Times New Roman" w:hAnsi="Century Gothic" w:cs="Arial"/>
                <w:sz w:val="20"/>
                <w:szCs w:val="20"/>
                <w:lang w:val="es-CO" w:eastAsia="es-CO"/>
              </w:rPr>
            </w:pPr>
            <w:r w:rsidRPr="002D6F59">
              <w:rPr>
                <w:rFonts w:ascii="Century Gothic" w:eastAsia="Times New Roman" w:hAnsi="Century Gothic" w:cs="Arial"/>
                <w:sz w:val="20"/>
                <w:szCs w:val="20"/>
                <w:lang w:val="es-CO" w:eastAsia="es-CO"/>
              </w:rPr>
              <w:t>(10 a 14)</w:t>
            </w:r>
          </w:p>
        </w:tc>
        <w:tc>
          <w:tcPr>
            <w:tcW w:w="1047" w:type="dxa"/>
            <w:tcBorders>
              <w:top w:val="nil"/>
              <w:left w:val="single" w:sz="4" w:space="0" w:color="auto"/>
              <w:bottom w:val="single" w:sz="4" w:space="0" w:color="auto"/>
              <w:right w:val="single" w:sz="4" w:space="0" w:color="auto"/>
            </w:tcBorders>
            <w:shd w:val="clear" w:color="000000" w:fill="FDECE3"/>
            <w:noWrap/>
            <w:vAlign w:val="center"/>
            <w:hideMark/>
          </w:tcPr>
          <w:p w14:paraId="6E60D65D"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60</w:t>
            </w:r>
          </w:p>
        </w:tc>
        <w:tc>
          <w:tcPr>
            <w:tcW w:w="781" w:type="dxa"/>
            <w:tcBorders>
              <w:top w:val="nil"/>
              <w:left w:val="nil"/>
              <w:bottom w:val="single" w:sz="4" w:space="0" w:color="auto"/>
              <w:right w:val="single" w:sz="4" w:space="0" w:color="auto"/>
            </w:tcBorders>
            <w:shd w:val="clear" w:color="000000" w:fill="FDECE3"/>
            <w:noWrap/>
            <w:vAlign w:val="center"/>
            <w:hideMark/>
          </w:tcPr>
          <w:p w14:paraId="140C9D82"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27</w:t>
            </w:r>
          </w:p>
        </w:tc>
        <w:tc>
          <w:tcPr>
            <w:tcW w:w="1794" w:type="dxa"/>
            <w:tcBorders>
              <w:top w:val="nil"/>
              <w:left w:val="nil"/>
              <w:bottom w:val="single" w:sz="4" w:space="0" w:color="auto"/>
              <w:right w:val="nil"/>
            </w:tcBorders>
            <w:shd w:val="clear" w:color="000000" w:fill="FDECE3"/>
            <w:noWrap/>
            <w:vAlign w:val="center"/>
            <w:hideMark/>
          </w:tcPr>
          <w:p w14:paraId="4303311C"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w:t>
            </w:r>
          </w:p>
        </w:tc>
        <w:tc>
          <w:tcPr>
            <w:tcW w:w="714" w:type="dxa"/>
            <w:tcBorders>
              <w:top w:val="nil"/>
              <w:left w:val="single" w:sz="4" w:space="0" w:color="auto"/>
              <w:bottom w:val="single" w:sz="4" w:space="0" w:color="auto"/>
              <w:right w:val="single" w:sz="8" w:space="0" w:color="auto"/>
            </w:tcBorders>
            <w:shd w:val="clear" w:color="000000" w:fill="ABD9D8"/>
            <w:noWrap/>
            <w:vAlign w:val="center"/>
            <w:hideMark/>
          </w:tcPr>
          <w:p w14:paraId="6C7FD171" w14:textId="77777777" w:rsidR="009C0307" w:rsidRPr="002D6F59" w:rsidRDefault="009C0307" w:rsidP="00B17AB2">
            <w:pPr>
              <w:spacing w:line="276" w:lineRule="auto"/>
              <w:jc w:val="center"/>
              <w:rPr>
                <w:rFonts w:ascii="Century Gothic" w:eastAsia="Times New Roman" w:hAnsi="Century Gothic" w:cs="Arial"/>
                <w:b/>
                <w:bCs/>
                <w:color w:val="000000"/>
                <w:sz w:val="20"/>
                <w:szCs w:val="20"/>
                <w:lang w:val="es-CO" w:eastAsia="es-CO"/>
              </w:rPr>
            </w:pPr>
            <w:r w:rsidRPr="002D6F59">
              <w:rPr>
                <w:rFonts w:ascii="Century Gothic" w:eastAsia="Times New Roman" w:hAnsi="Century Gothic" w:cs="Arial"/>
                <w:b/>
                <w:bCs/>
                <w:color w:val="000000"/>
                <w:sz w:val="20"/>
                <w:szCs w:val="20"/>
                <w:lang w:val="es-CO" w:eastAsia="es-CO"/>
              </w:rPr>
              <w:t>87</w:t>
            </w:r>
          </w:p>
        </w:tc>
      </w:tr>
      <w:tr w:rsidR="009C0307" w:rsidRPr="002D6F59" w14:paraId="62BCC8B1" w14:textId="77777777" w:rsidTr="009C0307">
        <w:trPr>
          <w:trHeight w:val="300"/>
          <w:jc w:val="center"/>
        </w:trPr>
        <w:tc>
          <w:tcPr>
            <w:tcW w:w="1396" w:type="dxa"/>
            <w:tcBorders>
              <w:top w:val="nil"/>
              <w:left w:val="single" w:sz="8" w:space="0" w:color="auto"/>
              <w:bottom w:val="single" w:sz="4" w:space="0" w:color="auto"/>
              <w:right w:val="single" w:sz="8" w:space="0" w:color="auto"/>
            </w:tcBorders>
            <w:shd w:val="clear" w:color="auto" w:fill="auto"/>
            <w:vAlign w:val="center"/>
            <w:hideMark/>
          </w:tcPr>
          <w:p w14:paraId="5FE26058" w14:textId="77777777" w:rsidR="009C0307" w:rsidRPr="002D6F59" w:rsidRDefault="009C0307" w:rsidP="00B17AB2">
            <w:pPr>
              <w:spacing w:line="276" w:lineRule="auto"/>
              <w:ind w:firstLineChars="100" w:firstLine="200"/>
              <w:jc w:val="center"/>
              <w:rPr>
                <w:rFonts w:ascii="Century Gothic" w:eastAsia="Times New Roman" w:hAnsi="Century Gothic" w:cs="Arial"/>
                <w:sz w:val="20"/>
                <w:szCs w:val="20"/>
                <w:lang w:val="es-CO" w:eastAsia="es-CO"/>
              </w:rPr>
            </w:pPr>
            <w:r w:rsidRPr="002D6F59">
              <w:rPr>
                <w:rFonts w:ascii="Century Gothic" w:eastAsia="Times New Roman" w:hAnsi="Century Gothic" w:cs="Arial"/>
                <w:sz w:val="20"/>
                <w:szCs w:val="20"/>
                <w:lang w:val="es-CO" w:eastAsia="es-CO"/>
              </w:rPr>
              <w:t>(15 a 17)</w:t>
            </w:r>
          </w:p>
        </w:tc>
        <w:tc>
          <w:tcPr>
            <w:tcW w:w="1047" w:type="dxa"/>
            <w:tcBorders>
              <w:top w:val="nil"/>
              <w:left w:val="single" w:sz="4" w:space="0" w:color="auto"/>
              <w:bottom w:val="single" w:sz="4" w:space="0" w:color="auto"/>
              <w:right w:val="single" w:sz="4" w:space="0" w:color="auto"/>
            </w:tcBorders>
            <w:shd w:val="clear" w:color="000000" w:fill="FDECE3"/>
            <w:noWrap/>
            <w:vAlign w:val="center"/>
            <w:hideMark/>
          </w:tcPr>
          <w:p w14:paraId="0A970C21"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489</w:t>
            </w:r>
          </w:p>
        </w:tc>
        <w:tc>
          <w:tcPr>
            <w:tcW w:w="781" w:type="dxa"/>
            <w:tcBorders>
              <w:top w:val="nil"/>
              <w:left w:val="nil"/>
              <w:bottom w:val="single" w:sz="4" w:space="0" w:color="auto"/>
              <w:right w:val="single" w:sz="4" w:space="0" w:color="auto"/>
            </w:tcBorders>
            <w:shd w:val="clear" w:color="000000" w:fill="FDECE3"/>
            <w:noWrap/>
            <w:vAlign w:val="center"/>
            <w:hideMark/>
          </w:tcPr>
          <w:p w14:paraId="5FB900A3"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56</w:t>
            </w:r>
          </w:p>
        </w:tc>
        <w:tc>
          <w:tcPr>
            <w:tcW w:w="1794" w:type="dxa"/>
            <w:tcBorders>
              <w:top w:val="nil"/>
              <w:left w:val="nil"/>
              <w:bottom w:val="single" w:sz="4" w:space="0" w:color="auto"/>
              <w:right w:val="nil"/>
            </w:tcBorders>
            <w:shd w:val="clear" w:color="000000" w:fill="FDECE3"/>
            <w:noWrap/>
            <w:vAlign w:val="center"/>
            <w:hideMark/>
          </w:tcPr>
          <w:p w14:paraId="575A6553" w14:textId="77777777" w:rsidR="009C0307" w:rsidRPr="002D6F59" w:rsidRDefault="009C0307" w:rsidP="00B17AB2">
            <w:pPr>
              <w:spacing w:line="276" w:lineRule="auto"/>
              <w:jc w:val="center"/>
              <w:rPr>
                <w:rFonts w:ascii="Century Gothic" w:eastAsia="Times New Roman" w:hAnsi="Century Gothic" w:cs="Arial"/>
                <w:color w:val="000000"/>
                <w:sz w:val="20"/>
                <w:szCs w:val="20"/>
                <w:lang w:val="es-CO" w:eastAsia="es-CO"/>
              </w:rPr>
            </w:pPr>
            <w:r w:rsidRPr="002D6F59">
              <w:rPr>
                <w:rFonts w:ascii="Century Gothic" w:eastAsia="Times New Roman" w:hAnsi="Century Gothic" w:cs="Arial"/>
                <w:color w:val="000000"/>
                <w:sz w:val="20"/>
                <w:szCs w:val="20"/>
                <w:lang w:val="es-CO" w:eastAsia="es-CO"/>
              </w:rPr>
              <w:t>3</w:t>
            </w:r>
          </w:p>
        </w:tc>
        <w:tc>
          <w:tcPr>
            <w:tcW w:w="714" w:type="dxa"/>
            <w:tcBorders>
              <w:top w:val="nil"/>
              <w:left w:val="single" w:sz="4" w:space="0" w:color="auto"/>
              <w:bottom w:val="single" w:sz="4" w:space="0" w:color="auto"/>
              <w:right w:val="single" w:sz="8" w:space="0" w:color="auto"/>
            </w:tcBorders>
            <w:shd w:val="clear" w:color="000000" w:fill="ABD9D8"/>
            <w:noWrap/>
            <w:vAlign w:val="center"/>
            <w:hideMark/>
          </w:tcPr>
          <w:p w14:paraId="41EE0183" w14:textId="77777777" w:rsidR="009C0307" w:rsidRPr="002D6F59" w:rsidRDefault="009C0307" w:rsidP="00B17AB2">
            <w:pPr>
              <w:spacing w:line="276" w:lineRule="auto"/>
              <w:jc w:val="center"/>
              <w:rPr>
                <w:rFonts w:ascii="Century Gothic" w:eastAsia="Times New Roman" w:hAnsi="Century Gothic" w:cs="Arial"/>
                <w:b/>
                <w:bCs/>
                <w:color w:val="000000"/>
                <w:sz w:val="20"/>
                <w:szCs w:val="20"/>
                <w:lang w:val="es-CO" w:eastAsia="es-CO"/>
              </w:rPr>
            </w:pPr>
            <w:r w:rsidRPr="002D6F59">
              <w:rPr>
                <w:rFonts w:ascii="Century Gothic" w:eastAsia="Times New Roman" w:hAnsi="Century Gothic" w:cs="Arial"/>
                <w:b/>
                <w:bCs/>
                <w:color w:val="000000"/>
                <w:sz w:val="20"/>
                <w:szCs w:val="20"/>
                <w:lang w:val="es-CO" w:eastAsia="es-CO"/>
              </w:rPr>
              <w:t>548</w:t>
            </w:r>
          </w:p>
        </w:tc>
      </w:tr>
    </w:tbl>
    <w:p w14:paraId="7F6C20CA" w14:textId="77777777" w:rsidR="009C0307" w:rsidRPr="002D6F59" w:rsidRDefault="009C0307" w:rsidP="00B17AB2">
      <w:pPr>
        <w:spacing w:line="276" w:lineRule="auto"/>
        <w:jc w:val="center"/>
        <w:rPr>
          <w:rFonts w:ascii="Century Gothic" w:hAnsi="Century Gothic" w:cs="Arial"/>
          <w:sz w:val="18"/>
          <w:szCs w:val="18"/>
        </w:rPr>
      </w:pPr>
      <w:r w:rsidRPr="002D6F59">
        <w:rPr>
          <w:rFonts w:ascii="Century Gothic" w:hAnsi="Century Gothic" w:cs="Arial"/>
          <w:sz w:val="18"/>
          <w:szCs w:val="18"/>
        </w:rPr>
        <w:t xml:space="preserve">Fuente: </w:t>
      </w:r>
      <w:hyperlink r:id="rId17" w:history="1">
        <w:r w:rsidRPr="002D6F59">
          <w:rPr>
            <w:rStyle w:val="Hipervnculo"/>
            <w:rFonts w:ascii="Century Gothic" w:hAnsi="Century Gothic" w:cs="Arial"/>
            <w:sz w:val="18"/>
            <w:szCs w:val="18"/>
          </w:rPr>
          <w:t>http://www.medicinalegal.gov.co/cifras-de-lesiones-de-causa-externa</w:t>
        </w:r>
      </w:hyperlink>
    </w:p>
    <w:p w14:paraId="7232D433" w14:textId="77777777" w:rsidR="009C0307" w:rsidRPr="002D6F59" w:rsidRDefault="009C0307" w:rsidP="00A4664D">
      <w:pPr>
        <w:jc w:val="both"/>
        <w:rPr>
          <w:rFonts w:ascii="Century Gothic" w:hAnsi="Century Gothic" w:cs="Arial"/>
        </w:rPr>
      </w:pPr>
    </w:p>
    <w:p w14:paraId="23039B3F" w14:textId="77777777" w:rsidR="009C0307" w:rsidRPr="002D6F59" w:rsidRDefault="009C0307" w:rsidP="00B17AB2">
      <w:pPr>
        <w:spacing w:line="276" w:lineRule="auto"/>
        <w:jc w:val="both"/>
        <w:rPr>
          <w:rFonts w:ascii="Century Gothic" w:eastAsia="Times New Roman" w:hAnsi="Century Gothic" w:cs="Arial"/>
          <w:lang w:eastAsia="es-ES"/>
        </w:rPr>
      </w:pPr>
      <w:r w:rsidRPr="002D6F59">
        <w:rPr>
          <w:rFonts w:ascii="Century Gothic" w:hAnsi="Century Gothic" w:cs="Arial"/>
        </w:rPr>
        <w:t xml:space="preserve">Ahora bien, respecto a </w:t>
      </w:r>
      <w:r w:rsidRPr="002D6F59">
        <w:rPr>
          <w:rFonts w:ascii="Century Gothic" w:eastAsia="Times New Roman" w:hAnsi="Century Gothic" w:cs="Arial"/>
          <w:lang w:val="es-CO" w:eastAsia="es-ES"/>
        </w:rPr>
        <w:t xml:space="preserve">los departamentos </w:t>
      </w:r>
      <w:r w:rsidRPr="002D6F59">
        <w:rPr>
          <w:rFonts w:ascii="Century Gothic" w:eastAsia="Times New Roman" w:hAnsi="Century Gothic" w:cs="Arial"/>
          <w:lang w:eastAsia="es-ES"/>
        </w:rPr>
        <w:t xml:space="preserve">que reportaron los mayores casos de homicidio contra los niños, niñas y adolescentes, durante el año 2018 fueron: Valle del Cauca con 176 casos, Antioquia con 159 casos, Nariño con 24 casos y Huila con 22 casos, los cuales representan el </w:t>
      </w:r>
      <w:r w:rsidRPr="002D6F59">
        <w:rPr>
          <w:rFonts w:ascii="Century Gothic" w:eastAsia="Times New Roman" w:hAnsi="Century Gothic" w:cs="Arial"/>
          <w:b/>
          <w:lang w:eastAsia="es-ES"/>
        </w:rPr>
        <w:t>62.2%</w:t>
      </w:r>
      <w:r w:rsidRPr="002D6F59">
        <w:rPr>
          <w:rFonts w:ascii="Century Gothic" w:eastAsia="Times New Roman" w:hAnsi="Century Gothic" w:cs="Arial"/>
          <w:lang w:eastAsia="es-ES"/>
        </w:rPr>
        <w:t xml:space="preserve"> del total de casos reportados para la vigencia 2018:</w:t>
      </w:r>
    </w:p>
    <w:p w14:paraId="5C6776F5" w14:textId="77777777" w:rsidR="009C0307" w:rsidRPr="002D6F59" w:rsidRDefault="009C0307" w:rsidP="00B17AB2">
      <w:pPr>
        <w:pStyle w:val="Prrafodelista"/>
        <w:spacing w:after="0"/>
        <w:rPr>
          <w:rFonts w:ascii="Century Gothic" w:hAnsi="Century Gothic" w:cs="Arial"/>
          <w:sz w:val="24"/>
          <w:szCs w:val="24"/>
        </w:rPr>
      </w:pPr>
    </w:p>
    <w:tbl>
      <w:tblPr>
        <w:tblStyle w:val="Tablaconcuadrcula"/>
        <w:tblW w:w="0" w:type="auto"/>
        <w:jc w:val="center"/>
        <w:tblLook w:val="04A0" w:firstRow="1" w:lastRow="0" w:firstColumn="1" w:lastColumn="0" w:noHBand="0" w:noVBand="1"/>
      </w:tblPr>
      <w:tblGrid>
        <w:gridCol w:w="4659"/>
        <w:gridCol w:w="1148"/>
      </w:tblGrid>
      <w:tr w:rsidR="009C0307" w:rsidRPr="002D6F59" w14:paraId="06492E27" w14:textId="77777777" w:rsidTr="00B37DB0">
        <w:trPr>
          <w:jc w:val="center"/>
        </w:trPr>
        <w:tc>
          <w:tcPr>
            <w:tcW w:w="4659" w:type="dxa"/>
            <w:shd w:val="clear" w:color="auto" w:fill="F2DBDB" w:themeFill="accent2" w:themeFillTint="33"/>
          </w:tcPr>
          <w:p w14:paraId="084B8241"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Amazonas</w:t>
            </w:r>
          </w:p>
        </w:tc>
        <w:tc>
          <w:tcPr>
            <w:tcW w:w="1148" w:type="dxa"/>
            <w:shd w:val="clear" w:color="auto" w:fill="F2DBDB" w:themeFill="accent2" w:themeFillTint="33"/>
          </w:tcPr>
          <w:p w14:paraId="53D0A4A5"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3</w:t>
            </w:r>
          </w:p>
        </w:tc>
      </w:tr>
      <w:tr w:rsidR="009C0307" w:rsidRPr="002D6F59" w14:paraId="5EDDE3BD" w14:textId="77777777" w:rsidTr="00B37DB0">
        <w:trPr>
          <w:jc w:val="center"/>
        </w:trPr>
        <w:tc>
          <w:tcPr>
            <w:tcW w:w="4659" w:type="dxa"/>
            <w:shd w:val="clear" w:color="auto" w:fill="FFFF00"/>
          </w:tcPr>
          <w:p w14:paraId="407C4A56"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Antioquia</w:t>
            </w:r>
          </w:p>
        </w:tc>
        <w:tc>
          <w:tcPr>
            <w:tcW w:w="1148" w:type="dxa"/>
            <w:shd w:val="clear" w:color="auto" w:fill="FFFF00"/>
          </w:tcPr>
          <w:p w14:paraId="7B3C999C"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159</w:t>
            </w:r>
          </w:p>
        </w:tc>
      </w:tr>
      <w:tr w:rsidR="009C0307" w:rsidRPr="002D6F59" w14:paraId="105CA1CD" w14:textId="77777777" w:rsidTr="00B37DB0">
        <w:trPr>
          <w:jc w:val="center"/>
        </w:trPr>
        <w:tc>
          <w:tcPr>
            <w:tcW w:w="4659" w:type="dxa"/>
            <w:shd w:val="clear" w:color="auto" w:fill="F2DBDB" w:themeFill="accent2" w:themeFillTint="33"/>
          </w:tcPr>
          <w:p w14:paraId="0176C36C"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Arauca</w:t>
            </w:r>
          </w:p>
        </w:tc>
        <w:tc>
          <w:tcPr>
            <w:tcW w:w="1148" w:type="dxa"/>
            <w:shd w:val="clear" w:color="auto" w:fill="F2DBDB" w:themeFill="accent2" w:themeFillTint="33"/>
          </w:tcPr>
          <w:p w14:paraId="4433C014"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5</w:t>
            </w:r>
          </w:p>
        </w:tc>
      </w:tr>
      <w:tr w:rsidR="009C0307" w:rsidRPr="002D6F59" w14:paraId="5B83F1EB" w14:textId="77777777" w:rsidTr="00B37DB0">
        <w:trPr>
          <w:trHeight w:val="223"/>
          <w:jc w:val="center"/>
        </w:trPr>
        <w:tc>
          <w:tcPr>
            <w:tcW w:w="4659" w:type="dxa"/>
            <w:shd w:val="clear" w:color="auto" w:fill="F2DBDB" w:themeFill="accent2" w:themeFillTint="33"/>
          </w:tcPr>
          <w:p w14:paraId="4CB7EEF1"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lastRenderedPageBreak/>
              <w:t>Archipiélago de San Andrés y Providencia</w:t>
            </w:r>
          </w:p>
        </w:tc>
        <w:tc>
          <w:tcPr>
            <w:tcW w:w="1148" w:type="dxa"/>
            <w:shd w:val="clear" w:color="auto" w:fill="F2DBDB" w:themeFill="accent2" w:themeFillTint="33"/>
          </w:tcPr>
          <w:p w14:paraId="4756799A"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5</w:t>
            </w:r>
          </w:p>
        </w:tc>
      </w:tr>
      <w:tr w:rsidR="009C0307" w:rsidRPr="002D6F59" w14:paraId="1ACFFA90" w14:textId="77777777" w:rsidTr="00B37DB0">
        <w:trPr>
          <w:trHeight w:val="265"/>
          <w:jc w:val="center"/>
        </w:trPr>
        <w:tc>
          <w:tcPr>
            <w:tcW w:w="4659" w:type="dxa"/>
            <w:shd w:val="clear" w:color="auto" w:fill="F2DBDB" w:themeFill="accent2" w:themeFillTint="33"/>
          </w:tcPr>
          <w:p w14:paraId="6FE4B091"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Atlántico</w:t>
            </w:r>
          </w:p>
        </w:tc>
        <w:tc>
          <w:tcPr>
            <w:tcW w:w="1148" w:type="dxa"/>
            <w:shd w:val="clear" w:color="auto" w:fill="F2DBDB" w:themeFill="accent2" w:themeFillTint="33"/>
          </w:tcPr>
          <w:p w14:paraId="33568F9B"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23</w:t>
            </w:r>
          </w:p>
        </w:tc>
      </w:tr>
      <w:tr w:rsidR="009C0307" w:rsidRPr="002D6F59" w14:paraId="64106D47" w14:textId="77777777" w:rsidTr="00B37DB0">
        <w:trPr>
          <w:jc w:val="center"/>
        </w:trPr>
        <w:tc>
          <w:tcPr>
            <w:tcW w:w="4659" w:type="dxa"/>
            <w:shd w:val="clear" w:color="auto" w:fill="FFFF00"/>
          </w:tcPr>
          <w:p w14:paraId="37CC2434"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Bogotá</w:t>
            </w:r>
          </w:p>
        </w:tc>
        <w:tc>
          <w:tcPr>
            <w:tcW w:w="1148" w:type="dxa"/>
            <w:shd w:val="clear" w:color="auto" w:fill="FFFF00"/>
          </w:tcPr>
          <w:p w14:paraId="2D95BA14"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66</w:t>
            </w:r>
          </w:p>
        </w:tc>
      </w:tr>
      <w:tr w:rsidR="009C0307" w:rsidRPr="002D6F59" w14:paraId="09128103" w14:textId="77777777" w:rsidTr="00B37DB0">
        <w:trPr>
          <w:trHeight w:val="209"/>
          <w:jc w:val="center"/>
        </w:trPr>
        <w:tc>
          <w:tcPr>
            <w:tcW w:w="4659" w:type="dxa"/>
            <w:shd w:val="clear" w:color="auto" w:fill="F2DBDB" w:themeFill="accent2" w:themeFillTint="33"/>
          </w:tcPr>
          <w:p w14:paraId="653D18BA"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Bolívar</w:t>
            </w:r>
          </w:p>
        </w:tc>
        <w:tc>
          <w:tcPr>
            <w:tcW w:w="1148" w:type="dxa"/>
            <w:shd w:val="clear" w:color="auto" w:fill="F2DBDB" w:themeFill="accent2" w:themeFillTint="33"/>
          </w:tcPr>
          <w:p w14:paraId="73EA92E6"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20</w:t>
            </w:r>
          </w:p>
        </w:tc>
      </w:tr>
      <w:tr w:rsidR="009C0307" w:rsidRPr="002D6F59" w14:paraId="511A9C40" w14:textId="77777777" w:rsidTr="00B37DB0">
        <w:trPr>
          <w:trHeight w:val="154"/>
          <w:jc w:val="center"/>
        </w:trPr>
        <w:tc>
          <w:tcPr>
            <w:tcW w:w="4659" w:type="dxa"/>
            <w:shd w:val="clear" w:color="auto" w:fill="F2DBDB" w:themeFill="accent2" w:themeFillTint="33"/>
          </w:tcPr>
          <w:p w14:paraId="25EC0285"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Boyacá</w:t>
            </w:r>
          </w:p>
        </w:tc>
        <w:tc>
          <w:tcPr>
            <w:tcW w:w="1148" w:type="dxa"/>
            <w:shd w:val="clear" w:color="auto" w:fill="F2DBDB" w:themeFill="accent2" w:themeFillTint="33"/>
          </w:tcPr>
          <w:p w14:paraId="6A296528"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3</w:t>
            </w:r>
          </w:p>
        </w:tc>
      </w:tr>
      <w:tr w:rsidR="009C0307" w:rsidRPr="002D6F59" w14:paraId="1370158E" w14:textId="77777777" w:rsidTr="00B37DB0">
        <w:trPr>
          <w:jc w:val="center"/>
        </w:trPr>
        <w:tc>
          <w:tcPr>
            <w:tcW w:w="4659" w:type="dxa"/>
            <w:shd w:val="clear" w:color="auto" w:fill="F2DBDB" w:themeFill="accent2" w:themeFillTint="33"/>
          </w:tcPr>
          <w:p w14:paraId="04E93299"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Caldas</w:t>
            </w:r>
          </w:p>
        </w:tc>
        <w:tc>
          <w:tcPr>
            <w:tcW w:w="1148" w:type="dxa"/>
            <w:shd w:val="clear" w:color="auto" w:fill="F2DBDB" w:themeFill="accent2" w:themeFillTint="33"/>
          </w:tcPr>
          <w:p w14:paraId="0146C7EA"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5</w:t>
            </w:r>
          </w:p>
        </w:tc>
      </w:tr>
      <w:tr w:rsidR="009C0307" w:rsidRPr="002D6F59" w14:paraId="6389058E" w14:textId="77777777" w:rsidTr="00B37DB0">
        <w:trPr>
          <w:jc w:val="center"/>
        </w:trPr>
        <w:tc>
          <w:tcPr>
            <w:tcW w:w="4659" w:type="dxa"/>
            <w:shd w:val="clear" w:color="auto" w:fill="F2DBDB" w:themeFill="accent2" w:themeFillTint="33"/>
          </w:tcPr>
          <w:p w14:paraId="4DF7AF3E"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Caquetá</w:t>
            </w:r>
          </w:p>
        </w:tc>
        <w:tc>
          <w:tcPr>
            <w:tcW w:w="1148" w:type="dxa"/>
            <w:shd w:val="clear" w:color="auto" w:fill="F2DBDB" w:themeFill="accent2" w:themeFillTint="33"/>
          </w:tcPr>
          <w:p w14:paraId="320ACDE1"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14</w:t>
            </w:r>
          </w:p>
        </w:tc>
      </w:tr>
      <w:tr w:rsidR="009C0307" w:rsidRPr="002D6F59" w14:paraId="232112E8" w14:textId="77777777" w:rsidTr="00B37DB0">
        <w:trPr>
          <w:jc w:val="center"/>
        </w:trPr>
        <w:tc>
          <w:tcPr>
            <w:tcW w:w="4659" w:type="dxa"/>
            <w:shd w:val="clear" w:color="auto" w:fill="F2DBDB" w:themeFill="accent2" w:themeFillTint="33"/>
          </w:tcPr>
          <w:p w14:paraId="1AA70A1B"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Casanare</w:t>
            </w:r>
          </w:p>
        </w:tc>
        <w:tc>
          <w:tcPr>
            <w:tcW w:w="1148" w:type="dxa"/>
            <w:shd w:val="clear" w:color="auto" w:fill="F2DBDB" w:themeFill="accent2" w:themeFillTint="33"/>
          </w:tcPr>
          <w:p w14:paraId="153B6868"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4</w:t>
            </w:r>
          </w:p>
        </w:tc>
      </w:tr>
      <w:tr w:rsidR="009C0307" w:rsidRPr="002D6F59" w14:paraId="75430659" w14:textId="77777777" w:rsidTr="00B37DB0">
        <w:trPr>
          <w:trHeight w:val="301"/>
          <w:jc w:val="center"/>
        </w:trPr>
        <w:tc>
          <w:tcPr>
            <w:tcW w:w="4659" w:type="dxa"/>
            <w:shd w:val="clear" w:color="auto" w:fill="F2DBDB" w:themeFill="accent2" w:themeFillTint="33"/>
          </w:tcPr>
          <w:p w14:paraId="46DF1FCE"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Cauca</w:t>
            </w:r>
          </w:p>
        </w:tc>
        <w:tc>
          <w:tcPr>
            <w:tcW w:w="1148" w:type="dxa"/>
            <w:shd w:val="clear" w:color="auto" w:fill="F2DBDB" w:themeFill="accent2" w:themeFillTint="33"/>
          </w:tcPr>
          <w:p w14:paraId="78D3ED49"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18</w:t>
            </w:r>
          </w:p>
        </w:tc>
      </w:tr>
      <w:tr w:rsidR="009C0307" w:rsidRPr="002D6F59" w14:paraId="77B58EBD" w14:textId="77777777" w:rsidTr="00B37DB0">
        <w:trPr>
          <w:jc w:val="center"/>
        </w:trPr>
        <w:tc>
          <w:tcPr>
            <w:tcW w:w="4659" w:type="dxa"/>
            <w:shd w:val="clear" w:color="auto" w:fill="F2DBDB" w:themeFill="accent2" w:themeFillTint="33"/>
          </w:tcPr>
          <w:p w14:paraId="275775DA"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Cesar</w:t>
            </w:r>
          </w:p>
        </w:tc>
        <w:tc>
          <w:tcPr>
            <w:tcW w:w="1148" w:type="dxa"/>
            <w:shd w:val="clear" w:color="auto" w:fill="F2DBDB" w:themeFill="accent2" w:themeFillTint="33"/>
          </w:tcPr>
          <w:p w14:paraId="6150E6DD"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14</w:t>
            </w:r>
          </w:p>
        </w:tc>
      </w:tr>
      <w:tr w:rsidR="009C0307" w:rsidRPr="002D6F59" w14:paraId="052CC16B" w14:textId="77777777" w:rsidTr="00B37DB0">
        <w:trPr>
          <w:jc w:val="center"/>
        </w:trPr>
        <w:tc>
          <w:tcPr>
            <w:tcW w:w="4659" w:type="dxa"/>
            <w:shd w:val="clear" w:color="auto" w:fill="F2DBDB" w:themeFill="accent2" w:themeFillTint="33"/>
          </w:tcPr>
          <w:p w14:paraId="0B31DC6E"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Chocó</w:t>
            </w:r>
          </w:p>
        </w:tc>
        <w:tc>
          <w:tcPr>
            <w:tcW w:w="1148" w:type="dxa"/>
            <w:shd w:val="clear" w:color="auto" w:fill="F2DBDB" w:themeFill="accent2" w:themeFillTint="33"/>
          </w:tcPr>
          <w:p w14:paraId="12E20D81"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13</w:t>
            </w:r>
          </w:p>
        </w:tc>
      </w:tr>
      <w:tr w:rsidR="009C0307" w:rsidRPr="002D6F59" w14:paraId="591A4A80" w14:textId="77777777" w:rsidTr="00B37DB0">
        <w:trPr>
          <w:jc w:val="center"/>
        </w:trPr>
        <w:tc>
          <w:tcPr>
            <w:tcW w:w="4659" w:type="dxa"/>
            <w:shd w:val="clear" w:color="auto" w:fill="F2DBDB" w:themeFill="accent2" w:themeFillTint="33"/>
          </w:tcPr>
          <w:p w14:paraId="2104D826"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Córdoba</w:t>
            </w:r>
          </w:p>
        </w:tc>
        <w:tc>
          <w:tcPr>
            <w:tcW w:w="1148" w:type="dxa"/>
            <w:shd w:val="clear" w:color="auto" w:fill="F2DBDB" w:themeFill="accent2" w:themeFillTint="33"/>
          </w:tcPr>
          <w:p w14:paraId="51E4FF13"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7</w:t>
            </w:r>
          </w:p>
        </w:tc>
      </w:tr>
      <w:tr w:rsidR="009C0307" w:rsidRPr="002D6F59" w14:paraId="4B9059E5" w14:textId="77777777" w:rsidTr="00B37DB0">
        <w:trPr>
          <w:trHeight w:val="237"/>
          <w:jc w:val="center"/>
        </w:trPr>
        <w:tc>
          <w:tcPr>
            <w:tcW w:w="4659" w:type="dxa"/>
            <w:shd w:val="clear" w:color="auto" w:fill="F2DBDB" w:themeFill="accent2" w:themeFillTint="33"/>
          </w:tcPr>
          <w:p w14:paraId="60A8FF18"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Cundinamarca</w:t>
            </w:r>
          </w:p>
        </w:tc>
        <w:tc>
          <w:tcPr>
            <w:tcW w:w="1148" w:type="dxa"/>
            <w:shd w:val="clear" w:color="auto" w:fill="F2DBDB" w:themeFill="accent2" w:themeFillTint="33"/>
          </w:tcPr>
          <w:p w14:paraId="4E4F1974"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16</w:t>
            </w:r>
          </w:p>
        </w:tc>
      </w:tr>
      <w:tr w:rsidR="009C0307" w:rsidRPr="002D6F59" w14:paraId="1A9D30A2" w14:textId="77777777" w:rsidTr="00B37DB0">
        <w:trPr>
          <w:trHeight w:val="140"/>
          <w:jc w:val="center"/>
        </w:trPr>
        <w:tc>
          <w:tcPr>
            <w:tcW w:w="4659" w:type="dxa"/>
            <w:shd w:val="clear" w:color="auto" w:fill="F2DBDB" w:themeFill="accent2" w:themeFillTint="33"/>
          </w:tcPr>
          <w:p w14:paraId="7BD58F76"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Guainía</w:t>
            </w:r>
          </w:p>
        </w:tc>
        <w:tc>
          <w:tcPr>
            <w:tcW w:w="1148" w:type="dxa"/>
            <w:shd w:val="clear" w:color="auto" w:fill="F2DBDB" w:themeFill="accent2" w:themeFillTint="33"/>
          </w:tcPr>
          <w:p w14:paraId="4AEDA9F0"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0</w:t>
            </w:r>
          </w:p>
        </w:tc>
      </w:tr>
      <w:tr w:rsidR="009C0307" w:rsidRPr="002D6F59" w14:paraId="1BC33324" w14:textId="77777777" w:rsidTr="00B37DB0">
        <w:trPr>
          <w:trHeight w:val="168"/>
          <w:jc w:val="center"/>
        </w:trPr>
        <w:tc>
          <w:tcPr>
            <w:tcW w:w="4659" w:type="dxa"/>
            <w:shd w:val="clear" w:color="auto" w:fill="F2DBDB" w:themeFill="accent2" w:themeFillTint="33"/>
          </w:tcPr>
          <w:p w14:paraId="1B5F8587"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Guaviare</w:t>
            </w:r>
          </w:p>
        </w:tc>
        <w:tc>
          <w:tcPr>
            <w:tcW w:w="1148" w:type="dxa"/>
            <w:shd w:val="clear" w:color="auto" w:fill="F2DBDB" w:themeFill="accent2" w:themeFillTint="33"/>
          </w:tcPr>
          <w:p w14:paraId="3A925B3E"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0</w:t>
            </w:r>
          </w:p>
        </w:tc>
      </w:tr>
      <w:tr w:rsidR="009C0307" w:rsidRPr="002D6F59" w14:paraId="08DFF3D0" w14:textId="77777777" w:rsidTr="00B37DB0">
        <w:trPr>
          <w:jc w:val="center"/>
        </w:trPr>
        <w:tc>
          <w:tcPr>
            <w:tcW w:w="4659" w:type="dxa"/>
            <w:shd w:val="clear" w:color="auto" w:fill="FFFF00"/>
          </w:tcPr>
          <w:p w14:paraId="2A8DA8D9"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Huila</w:t>
            </w:r>
          </w:p>
        </w:tc>
        <w:tc>
          <w:tcPr>
            <w:tcW w:w="1148" w:type="dxa"/>
            <w:shd w:val="clear" w:color="auto" w:fill="FFFF00"/>
          </w:tcPr>
          <w:p w14:paraId="17934C39"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22</w:t>
            </w:r>
          </w:p>
        </w:tc>
      </w:tr>
      <w:tr w:rsidR="009C0307" w:rsidRPr="002D6F59" w14:paraId="55B15BDD" w14:textId="77777777" w:rsidTr="00B37DB0">
        <w:trPr>
          <w:trHeight w:val="252"/>
          <w:jc w:val="center"/>
        </w:trPr>
        <w:tc>
          <w:tcPr>
            <w:tcW w:w="4659" w:type="dxa"/>
            <w:shd w:val="clear" w:color="auto" w:fill="F2DBDB" w:themeFill="accent2" w:themeFillTint="33"/>
          </w:tcPr>
          <w:p w14:paraId="12992285"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La Guajira</w:t>
            </w:r>
          </w:p>
        </w:tc>
        <w:tc>
          <w:tcPr>
            <w:tcW w:w="1148" w:type="dxa"/>
            <w:shd w:val="clear" w:color="auto" w:fill="F2DBDB" w:themeFill="accent2" w:themeFillTint="33"/>
          </w:tcPr>
          <w:p w14:paraId="17CE0563"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12</w:t>
            </w:r>
          </w:p>
        </w:tc>
      </w:tr>
      <w:tr w:rsidR="009C0307" w:rsidRPr="002D6F59" w14:paraId="27193BA9" w14:textId="77777777" w:rsidTr="00B37DB0">
        <w:trPr>
          <w:trHeight w:val="101"/>
          <w:jc w:val="center"/>
        </w:trPr>
        <w:tc>
          <w:tcPr>
            <w:tcW w:w="4659" w:type="dxa"/>
            <w:shd w:val="clear" w:color="auto" w:fill="F2DBDB" w:themeFill="accent2" w:themeFillTint="33"/>
          </w:tcPr>
          <w:p w14:paraId="101E1045"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Magdalena</w:t>
            </w:r>
          </w:p>
        </w:tc>
        <w:tc>
          <w:tcPr>
            <w:tcW w:w="1148" w:type="dxa"/>
            <w:shd w:val="clear" w:color="auto" w:fill="F2DBDB" w:themeFill="accent2" w:themeFillTint="33"/>
          </w:tcPr>
          <w:p w14:paraId="6C62D884"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10</w:t>
            </w:r>
          </w:p>
        </w:tc>
      </w:tr>
      <w:tr w:rsidR="009C0307" w:rsidRPr="002D6F59" w14:paraId="3D265A1B" w14:textId="77777777" w:rsidTr="00B37DB0">
        <w:trPr>
          <w:jc w:val="center"/>
        </w:trPr>
        <w:tc>
          <w:tcPr>
            <w:tcW w:w="4659" w:type="dxa"/>
            <w:shd w:val="clear" w:color="auto" w:fill="F2DBDB" w:themeFill="accent2" w:themeFillTint="33"/>
          </w:tcPr>
          <w:p w14:paraId="0E12980A"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Meta</w:t>
            </w:r>
          </w:p>
        </w:tc>
        <w:tc>
          <w:tcPr>
            <w:tcW w:w="1148" w:type="dxa"/>
            <w:shd w:val="clear" w:color="auto" w:fill="F2DBDB" w:themeFill="accent2" w:themeFillTint="33"/>
          </w:tcPr>
          <w:p w14:paraId="7A5F82B5"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11</w:t>
            </w:r>
          </w:p>
        </w:tc>
      </w:tr>
      <w:tr w:rsidR="009C0307" w:rsidRPr="002D6F59" w14:paraId="14026FAF" w14:textId="77777777" w:rsidTr="00B37DB0">
        <w:trPr>
          <w:trHeight w:val="179"/>
          <w:jc w:val="center"/>
        </w:trPr>
        <w:tc>
          <w:tcPr>
            <w:tcW w:w="4659" w:type="dxa"/>
            <w:shd w:val="clear" w:color="auto" w:fill="FFFF00"/>
          </w:tcPr>
          <w:p w14:paraId="035B9D7F"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Nariño</w:t>
            </w:r>
          </w:p>
        </w:tc>
        <w:tc>
          <w:tcPr>
            <w:tcW w:w="1148" w:type="dxa"/>
            <w:shd w:val="clear" w:color="auto" w:fill="FFFF00"/>
          </w:tcPr>
          <w:p w14:paraId="6CB5C2E3"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24</w:t>
            </w:r>
          </w:p>
        </w:tc>
      </w:tr>
      <w:tr w:rsidR="009C0307" w:rsidRPr="002D6F59" w14:paraId="72C80E46" w14:textId="77777777" w:rsidTr="00B37DB0">
        <w:trPr>
          <w:jc w:val="center"/>
        </w:trPr>
        <w:tc>
          <w:tcPr>
            <w:tcW w:w="4659" w:type="dxa"/>
            <w:shd w:val="clear" w:color="auto" w:fill="F2DBDB" w:themeFill="accent2" w:themeFillTint="33"/>
          </w:tcPr>
          <w:p w14:paraId="3C8351BC"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Norte de Santander</w:t>
            </w:r>
          </w:p>
        </w:tc>
        <w:tc>
          <w:tcPr>
            <w:tcW w:w="1148" w:type="dxa"/>
            <w:shd w:val="clear" w:color="auto" w:fill="F2DBDB" w:themeFill="accent2" w:themeFillTint="33"/>
          </w:tcPr>
          <w:p w14:paraId="14E365E0"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17</w:t>
            </w:r>
          </w:p>
        </w:tc>
      </w:tr>
      <w:tr w:rsidR="009C0307" w:rsidRPr="002D6F59" w14:paraId="5A037B09" w14:textId="77777777" w:rsidTr="00B37DB0">
        <w:trPr>
          <w:jc w:val="center"/>
        </w:trPr>
        <w:tc>
          <w:tcPr>
            <w:tcW w:w="4659" w:type="dxa"/>
            <w:shd w:val="clear" w:color="auto" w:fill="F2DBDB" w:themeFill="accent2" w:themeFillTint="33"/>
          </w:tcPr>
          <w:p w14:paraId="7FD893B4"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Putumayo</w:t>
            </w:r>
          </w:p>
        </w:tc>
        <w:tc>
          <w:tcPr>
            <w:tcW w:w="1148" w:type="dxa"/>
            <w:shd w:val="clear" w:color="auto" w:fill="F2DBDB" w:themeFill="accent2" w:themeFillTint="33"/>
          </w:tcPr>
          <w:p w14:paraId="32A75F65"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13</w:t>
            </w:r>
          </w:p>
        </w:tc>
      </w:tr>
      <w:tr w:rsidR="009C0307" w:rsidRPr="002D6F59" w14:paraId="0B162D18" w14:textId="77777777" w:rsidTr="00B37DB0">
        <w:trPr>
          <w:trHeight w:val="266"/>
          <w:jc w:val="center"/>
        </w:trPr>
        <w:tc>
          <w:tcPr>
            <w:tcW w:w="4659" w:type="dxa"/>
            <w:shd w:val="clear" w:color="auto" w:fill="F2DBDB" w:themeFill="accent2" w:themeFillTint="33"/>
          </w:tcPr>
          <w:p w14:paraId="5293DDD6"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Quindío</w:t>
            </w:r>
          </w:p>
        </w:tc>
        <w:tc>
          <w:tcPr>
            <w:tcW w:w="1148" w:type="dxa"/>
            <w:shd w:val="clear" w:color="auto" w:fill="F2DBDB" w:themeFill="accent2" w:themeFillTint="33"/>
          </w:tcPr>
          <w:p w14:paraId="0DB24538"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15</w:t>
            </w:r>
          </w:p>
        </w:tc>
      </w:tr>
      <w:tr w:rsidR="009C0307" w:rsidRPr="002D6F59" w14:paraId="1693F369" w14:textId="77777777" w:rsidTr="00B37DB0">
        <w:trPr>
          <w:jc w:val="center"/>
        </w:trPr>
        <w:tc>
          <w:tcPr>
            <w:tcW w:w="4659" w:type="dxa"/>
            <w:shd w:val="clear" w:color="auto" w:fill="F2DBDB" w:themeFill="accent2" w:themeFillTint="33"/>
          </w:tcPr>
          <w:p w14:paraId="6CCCAA96"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Risaralda</w:t>
            </w:r>
          </w:p>
        </w:tc>
        <w:tc>
          <w:tcPr>
            <w:tcW w:w="1148" w:type="dxa"/>
            <w:shd w:val="clear" w:color="auto" w:fill="F2DBDB" w:themeFill="accent2" w:themeFillTint="33"/>
          </w:tcPr>
          <w:p w14:paraId="02B93787"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4</w:t>
            </w:r>
          </w:p>
        </w:tc>
      </w:tr>
      <w:tr w:rsidR="009C0307" w:rsidRPr="002D6F59" w14:paraId="40EB8643" w14:textId="77777777" w:rsidTr="00B37DB0">
        <w:trPr>
          <w:jc w:val="center"/>
        </w:trPr>
        <w:tc>
          <w:tcPr>
            <w:tcW w:w="4659" w:type="dxa"/>
            <w:shd w:val="clear" w:color="auto" w:fill="F2DBDB" w:themeFill="accent2" w:themeFillTint="33"/>
          </w:tcPr>
          <w:p w14:paraId="44EDD3EB"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Santander</w:t>
            </w:r>
          </w:p>
        </w:tc>
        <w:tc>
          <w:tcPr>
            <w:tcW w:w="1148" w:type="dxa"/>
            <w:shd w:val="clear" w:color="auto" w:fill="F2DBDB" w:themeFill="accent2" w:themeFillTint="33"/>
          </w:tcPr>
          <w:p w14:paraId="72E7C7DE"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13</w:t>
            </w:r>
          </w:p>
        </w:tc>
      </w:tr>
      <w:tr w:rsidR="009C0307" w:rsidRPr="002D6F59" w14:paraId="33F5AACC" w14:textId="77777777" w:rsidTr="00B37DB0">
        <w:trPr>
          <w:trHeight w:val="101"/>
          <w:jc w:val="center"/>
        </w:trPr>
        <w:tc>
          <w:tcPr>
            <w:tcW w:w="4659" w:type="dxa"/>
            <w:shd w:val="clear" w:color="auto" w:fill="F2DBDB" w:themeFill="accent2" w:themeFillTint="33"/>
          </w:tcPr>
          <w:p w14:paraId="268A807F"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Sucre</w:t>
            </w:r>
          </w:p>
        </w:tc>
        <w:tc>
          <w:tcPr>
            <w:tcW w:w="1148" w:type="dxa"/>
            <w:shd w:val="clear" w:color="auto" w:fill="F2DBDB" w:themeFill="accent2" w:themeFillTint="33"/>
          </w:tcPr>
          <w:p w14:paraId="2A705EE8"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4</w:t>
            </w:r>
          </w:p>
        </w:tc>
      </w:tr>
      <w:tr w:rsidR="009C0307" w:rsidRPr="002D6F59" w14:paraId="19FD63C0" w14:textId="77777777" w:rsidTr="00B37DB0">
        <w:trPr>
          <w:trHeight w:val="127"/>
          <w:jc w:val="center"/>
        </w:trPr>
        <w:tc>
          <w:tcPr>
            <w:tcW w:w="4659" w:type="dxa"/>
            <w:shd w:val="clear" w:color="auto" w:fill="F2DBDB" w:themeFill="accent2" w:themeFillTint="33"/>
          </w:tcPr>
          <w:p w14:paraId="72A616A5"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Tolima</w:t>
            </w:r>
          </w:p>
        </w:tc>
        <w:tc>
          <w:tcPr>
            <w:tcW w:w="1148" w:type="dxa"/>
            <w:shd w:val="clear" w:color="auto" w:fill="F2DBDB" w:themeFill="accent2" w:themeFillTint="33"/>
          </w:tcPr>
          <w:p w14:paraId="68BF9D2B"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17</w:t>
            </w:r>
          </w:p>
        </w:tc>
      </w:tr>
      <w:tr w:rsidR="009C0307" w:rsidRPr="002D6F59" w14:paraId="082DFB46" w14:textId="77777777" w:rsidTr="00B37DB0">
        <w:trPr>
          <w:jc w:val="center"/>
        </w:trPr>
        <w:tc>
          <w:tcPr>
            <w:tcW w:w="4659" w:type="dxa"/>
            <w:shd w:val="clear" w:color="auto" w:fill="FFFF00"/>
          </w:tcPr>
          <w:p w14:paraId="28E86A29"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Valle del Cauca</w:t>
            </w:r>
          </w:p>
        </w:tc>
        <w:tc>
          <w:tcPr>
            <w:tcW w:w="1148" w:type="dxa"/>
            <w:shd w:val="clear" w:color="auto" w:fill="FFFF00"/>
          </w:tcPr>
          <w:p w14:paraId="773D5D37"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176</w:t>
            </w:r>
          </w:p>
        </w:tc>
      </w:tr>
      <w:tr w:rsidR="009C0307" w:rsidRPr="002D6F59" w14:paraId="08074748" w14:textId="77777777" w:rsidTr="00B37DB0">
        <w:trPr>
          <w:trHeight w:val="101"/>
          <w:jc w:val="center"/>
        </w:trPr>
        <w:tc>
          <w:tcPr>
            <w:tcW w:w="4659" w:type="dxa"/>
            <w:shd w:val="clear" w:color="auto" w:fill="F2DBDB" w:themeFill="accent2" w:themeFillTint="33"/>
          </w:tcPr>
          <w:p w14:paraId="670D5C4F"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Vaupés</w:t>
            </w:r>
          </w:p>
        </w:tc>
        <w:tc>
          <w:tcPr>
            <w:tcW w:w="1148" w:type="dxa"/>
            <w:shd w:val="clear" w:color="auto" w:fill="F2DBDB" w:themeFill="accent2" w:themeFillTint="33"/>
          </w:tcPr>
          <w:p w14:paraId="069B1F2A"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0</w:t>
            </w:r>
          </w:p>
        </w:tc>
      </w:tr>
      <w:tr w:rsidR="009C0307" w:rsidRPr="002D6F59" w14:paraId="1BAF9347" w14:textId="77777777" w:rsidTr="00B37DB0">
        <w:trPr>
          <w:trHeight w:val="252"/>
          <w:jc w:val="center"/>
        </w:trPr>
        <w:tc>
          <w:tcPr>
            <w:tcW w:w="4659" w:type="dxa"/>
            <w:shd w:val="clear" w:color="auto" w:fill="F2DBDB" w:themeFill="accent2" w:themeFillTint="33"/>
          </w:tcPr>
          <w:p w14:paraId="1A465167"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Vichada</w:t>
            </w:r>
          </w:p>
        </w:tc>
        <w:tc>
          <w:tcPr>
            <w:tcW w:w="1148" w:type="dxa"/>
            <w:shd w:val="clear" w:color="auto" w:fill="F2DBDB" w:themeFill="accent2" w:themeFillTint="33"/>
          </w:tcPr>
          <w:p w14:paraId="16AD9165"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0</w:t>
            </w:r>
          </w:p>
        </w:tc>
      </w:tr>
      <w:tr w:rsidR="009C0307" w:rsidRPr="002D6F59" w14:paraId="649CBF08" w14:textId="77777777" w:rsidTr="00B37DB0">
        <w:trPr>
          <w:trHeight w:val="252"/>
          <w:jc w:val="center"/>
        </w:trPr>
        <w:tc>
          <w:tcPr>
            <w:tcW w:w="4659" w:type="dxa"/>
            <w:shd w:val="clear" w:color="auto" w:fill="F2DBDB" w:themeFill="accent2" w:themeFillTint="33"/>
          </w:tcPr>
          <w:p w14:paraId="39B1DE7D"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 xml:space="preserve">Si información </w:t>
            </w:r>
          </w:p>
        </w:tc>
        <w:tc>
          <w:tcPr>
            <w:tcW w:w="1148" w:type="dxa"/>
            <w:shd w:val="clear" w:color="auto" w:fill="F2DBDB" w:themeFill="accent2" w:themeFillTint="33"/>
          </w:tcPr>
          <w:p w14:paraId="77B13720" w14:textId="77777777" w:rsidR="009C0307" w:rsidRPr="002D6F59" w:rsidRDefault="009C0307" w:rsidP="00B17AB2">
            <w:pPr>
              <w:spacing w:line="276" w:lineRule="auto"/>
              <w:jc w:val="center"/>
              <w:rPr>
                <w:rFonts w:ascii="Century Gothic" w:eastAsia="Times New Roman" w:hAnsi="Century Gothic" w:cs="Arial"/>
                <w:color w:val="404040"/>
                <w:sz w:val="20"/>
                <w:szCs w:val="20"/>
              </w:rPr>
            </w:pPr>
            <w:r w:rsidRPr="002D6F59">
              <w:rPr>
                <w:rFonts w:ascii="Century Gothic" w:eastAsia="Times New Roman" w:hAnsi="Century Gothic" w:cs="Arial"/>
                <w:color w:val="404040"/>
                <w:sz w:val="20"/>
                <w:szCs w:val="20"/>
              </w:rPr>
              <w:t>0</w:t>
            </w:r>
          </w:p>
        </w:tc>
      </w:tr>
      <w:tr w:rsidR="009C0307" w:rsidRPr="002D6F59" w14:paraId="309492B2" w14:textId="77777777" w:rsidTr="00B37DB0">
        <w:trPr>
          <w:trHeight w:val="252"/>
          <w:jc w:val="center"/>
        </w:trPr>
        <w:tc>
          <w:tcPr>
            <w:tcW w:w="4659" w:type="dxa"/>
            <w:shd w:val="clear" w:color="auto" w:fill="F2DBDB" w:themeFill="accent2" w:themeFillTint="33"/>
          </w:tcPr>
          <w:p w14:paraId="6C599236"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TOTAL</w:t>
            </w:r>
          </w:p>
        </w:tc>
        <w:tc>
          <w:tcPr>
            <w:tcW w:w="1148" w:type="dxa"/>
            <w:shd w:val="clear" w:color="auto" w:fill="F2DBDB" w:themeFill="accent2" w:themeFillTint="33"/>
          </w:tcPr>
          <w:p w14:paraId="434B0892" w14:textId="77777777" w:rsidR="009C0307" w:rsidRPr="002D6F59" w:rsidRDefault="009C0307" w:rsidP="00B17AB2">
            <w:pPr>
              <w:spacing w:line="276" w:lineRule="auto"/>
              <w:jc w:val="center"/>
              <w:rPr>
                <w:rFonts w:ascii="Century Gothic" w:eastAsia="Times New Roman" w:hAnsi="Century Gothic" w:cs="Arial"/>
                <w:b/>
                <w:color w:val="404040"/>
                <w:sz w:val="20"/>
                <w:szCs w:val="20"/>
              </w:rPr>
            </w:pPr>
            <w:r w:rsidRPr="002D6F59">
              <w:rPr>
                <w:rFonts w:ascii="Century Gothic" w:eastAsia="Times New Roman" w:hAnsi="Century Gothic" w:cs="Arial"/>
                <w:b/>
                <w:color w:val="404040"/>
                <w:sz w:val="20"/>
                <w:szCs w:val="20"/>
              </w:rPr>
              <w:t>713</w:t>
            </w:r>
          </w:p>
        </w:tc>
      </w:tr>
    </w:tbl>
    <w:p w14:paraId="4ECC7F58" w14:textId="77777777" w:rsidR="009C0307" w:rsidRPr="002D6F59" w:rsidRDefault="009C0307" w:rsidP="00B17AB2">
      <w:pPr>
        <w:spacing w:line="276" w:lineRule="auto"/>
        <w:jc w:val="center"/>
        <w:rPr>
          <w:rStyle w:val="Hipervnculo"/>
          <w:rFonts w:ascii="Century Gothic" w:eastAsia="Times New Roman" w:hAnsi="Century Gothic" w:cs="Arial"/>
          <w:sz w:val="18"/>
          <w:szCs w:val="18"/>
        </w:rPr>
      </w:pPr>
      <w:r w:rsidRPr="002D6F59">
        <w:rPr>
          <w:rFonts w:ascii="Century Gothic" w:eastAsia="Times New Roman" w:hAnsi="Century Gothic" w:cs="Arial"/>
          <w:sz w:val="18"/>
          <w:szCs w:val="18"/>
          <w:lang w:val="es-CO" w:eastAsia="es-ES"/>
        </w:rPr>
        <w:t xml:space="preserve">Fuente: </w:t>
      </w:r>
      <w:hyperlink r:id="rId18" w:history="1">
        <w:r w:rsidRPr="002D6F59">
          <w:rPr>
            <w:rStyle w:val="Hipervnculo"/>
            <w:rFonts w:ascii="Century Gothic" w:eastAsia="Times New Roman" w:hAnsi="Century Gothic" w:cs="Arial"/>
            <w:sz w:val="18"/>
            <w:szCs w:val="18"/>
          </w:rPr>
          <w:t>http://www.medicinalegal.gov.co/observatorio-de-violencia</w:t>
        </w:r>
      </w:hyperlink>
    </w:p>
    <w:p w14:paraId="61218AB2" w14:textId="301E84B4" w:rsidR="00887542" w:rsidRPr="002D6F59" w:rsidRDefault="00887542" w:rsidP="00B17AB2">
      <w:pPr>
        <w:spacing w:line="276" w:lineRule="auto"/>
        <w:jc w:val="both"/>
        <w:rPr>
          <w:rFonts w:ascii="Century Gothic" w:hAnsi="Century Gothic" w:cs="Arial"/>
        </w:rPr>
      </w:pPr>
    </w:p>
    <w:p w14:paraId="4CC5F385" w14:textId="3F3B4DB9" w:rsidR="00BC121A" w:rsidRPr="002D6F59" w:rsidRDefault="00BC121A" w:rsidP="00B17AB2">
      <w:pPr>
        <w:pStyle w:val="Prrafodelista"/>
        <w:numPr>
          <w:ilvl w:val="0"/>
          <w:numId w:val="46"/>
        </w:numPr>
        <w:jc w:val="both"/>
        <w:rPr>
          <w:rFonts w:ascii="Century Gothic" w:hAnsi="Century Gothic" w:cs="Arial"/>
          <w:b/>
        </w:rPr>
      </w:pPr>
      <w:r w:rsidRPr="002D6F59">
        <w:rPr>
          <w:rFonts w:ascii="Century Gothic" w:hAnsi="Century Gothic" w:cs="Arial"/>
          <w:b/>
        </w:rPr>
        <w:t>L</w:t>
      </w:r>
      <w:r w:rsidRPr="002D6F59">
        <w:rPr>
          <w:rFonts w:ascii="Century Gothic" w:hAnsi="Century Gothic" w:cs="Arial"/>
          <w:b/>
          <w:smallCaps/>
        </w:rPr>
        <w:t>A</w:t>
      </w:r>
      <w:r w:rsidRPr="002D6F59">
        <w:rPr>
          <w:rFonts w:ascii="Century Gothic" w:hAnsi="Century Gothic" w:cs="Arial"/>
          <w:b/>
        </w:rPr>
        <w:t xml:space="preserve"> PREVALENCIA DE LOS DERECHOS DE LOS NIÑOS, NIÑAS Y ADOLESCENTES EN LA CONSTITUCIÓN POLÍTICA Y EN LOS TRATADOS INTERNACIONALES</w:t>
      </w:r>
    </w:p>
    <w:p w14:paraId="611C0809" w14:textId="025A4BDA"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 xml:space="preserve">No puede perderse de vista que existen varios Instrumentos </w:t>
      </w:r>
      <w:r w:rsidR="002442EA" w:rsidRPr="002D6F59">
        <w:rPr>
          <w:rStyle w:val="s11"/>
          <w:rFonts w:ascii="Century Gothic" w:hAnsi="Century Gothic" w:cs="Arial"/>
          <w:color w:val="000000"/>
        </w:rPr>
        <w:t>internacionales que</w:t>
      </w:r>
      <w:r w:rsidRPr="002D6F59">
        <w:rPr>
          <w:rStyle w:val="s11"/>
          <w:rFonts w:ascii="Century Gothic" w:hAnsi="Century Gothic" w:cs="Arial"/>
          <w:color w:val="000000"/>
        </w:rPr>
        <w:t xml:space="preserve"> imponen a Colombia una serie de obligaciones de </w:t>
      </w:r>
      <w:r w:rsidR="002442EA" w:rsidRPr="002D6F59">
        <w:rPr>
          <w:rStyle w:val="s11"/>
          <w:rFonts w:ascii="Century Gothic" w:hAnsi="Century Gothic" w:cs="Arial"/>
          <w:color w:val="000000"/>
        </w:rPr>
        <w:t>protección de los niños niña y adolescente</w:t>
      </w:r>
      <w:r w:rsidRPr="002D6F59">
        <w:rPr>
          <w:rStyle w:val="s11"/>
          <w:rFonts w:ascii="Century Gothic" w:hAnsi="Century Gothic" w:cs="Arial"/>
          <w:color w:val="000000"/>
        </w:rPr>
        <w:t xml:space="preserve">. Entre los más importantes están la Convención sobre los Derechos del Niño, el Pacto Internacional de Derechos Civiles y Políticos, la Convención Americana de Derechos Humanos, el Pacto Internacional de Derechos Económicos, Sociales y Culturales, la Declaración de las Naciones </w:t>
      </w:r>
      <w:r w:rsidRPr="002D6F59">
        <w:rPr>
          <w:rStyle w:val="s11"/>
          <w:rFonts w:ascii="Century Gothic" w:hAnsi="Century Gothic" w:cs="Arial"/>
          <w:color w:val="000000"/>
        </w:rPr>
        <w:lastRenderedPageBreak/>
        <w:t>Unidas sobre los Derechos del Niño y la Declaración Universal de Derechos Humanos.</w:t>
      </w:r>
    </w:p>
    <w:p w14:paraId="0B6D2F7E" w14:textId="77777777" w:rsidR="00BC121A" w:rsidRPr="002D6F59" w:rsidRDefault="00BC121A" w:rsidP="005627A0">
      <w:pPr>
        <w:pStyle w:val="s10"/>
        <w:spacing w:before="0" w:beforeAutospacing="0" w:after="0" w:afterAutospacing="0"/>
        <w:jc w:val="both"/>
        <w:rPr>
          <w:rStyle w:val="s11"/>
          <w:rFonts w:ascii="Century Gothic" w:hAnsi="Century Gothic" w:cs="Arial"/>
          <w:color w:val="000000"/>
        </w:rPr>
      </w:pPr>
      <w:r w:rsidRPr="002D6F59">
        <w:rPr>
          <w:rStyle w:val="s11"/>
          <w:rFonts w:ascii="Century Gothic" w:hAnsi="Century Gothic" w:cs="Arial"/>
          <w:color w:val="000000"/>
        </w:rPr>
        <w:t xml:space="preserve"> </w:t>
      </w:r>
    </w:p>
    <w:p w14:paraId="76C3AFAA" w14:textId="3535337E"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Todos estos tratados internacionales imponen a Colombia el deber de proteger de manera efectiva los bienes jurídicos de los menores, así como también el prevenir y castigar de forma oportuna las afectaciones a tales derechos. De igual fo</w:t>
      </w:r>
      <w:r w:rsidR="002E4C81" w:rsidRPr="002D6F59">
        <w:rPr>
          <w:rStyle w:val="s11"/>
          <w:rFonts w:ascii="Century Gothic" w:hAnsi="Century Gothic" w:cs="Arial"/>
          <w:color w:val="000000"/>
        </w:rPr>
        <w:t>rma, estos instrumentos recalcan</w:t>
      </w:r>
      <w:r w:rsidRPr="002D6F59">
        <w:rPr>
          <w:rStyle w:val="s11"/>
          <w:rFonts w:ascii="Century Gothic" w:hAnsi="Century Gothic" w:cs="Arial"/>
          <w:color w:val="000000"/>
        </w:rPr>
        <w:t xml:space="preserve"> la prev</w:t>
      </w:r>
      <w:r w:rsidR="002E4C81" w:rsidRPr="002D6F59">
        <w:rPr>
          <w:rStyle w:val="s11"/>
          <w:rFonts w:ascii="Century Gothic" w:hAnsi="Century Gothic" w:cs="Arial"/>
          <w:color w:val="000000"/>
        </w:rPr>
        <w:t>alencia del interés del menor, f</w:t>
      </w:r>
      <w:r w:rsidRPr="002D6F59">
        <w:rPr>
          <w:rStyle w:val="s11"/>
          <w:rFonts w:ascii="Century Gothic" w:hAnsi="Century Gothic" w:cs="Arial"/>
          <w:color w:val="000000"/>
        </w:rPr>
        <w:t>rente a otros derechos, dentro de los cuales están los de las personas procesadas y condenadas. Es así como la Convención sobre los Derechos del Niño consagra:</w:t>
      </w:r>
    </w:p>
    <w:p w14:paraId="4C37041E" w14:textId="77777777"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p>
    <w:p w14:paraId="75A5DA5F" w14:textId="77777777" w:rsidR="00BC121A" w:rsidRPr="002D6F59" w:rsidRDefault="00BC121A" w:rsidP="00B17AB2">
      <w:pPr>
        <w:pStyle w:val="s10"/>
        <w:spacing w:before="0" w:beforeAutospacing="0" w:after="0" w:afterAutospacing="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Artículo 3</w:t>
      </w:r>
    </w:p>
    <w:p w14:paraId="76B768CB" w14:textId="77777777" w:rsidR="00BC121A" w:rsidRPr="002D6F59" w:rsidRDefault="00BC121A" w:rsidP="00B17AB2">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 xml:space="preserve">1. En todas las medidas concernientes a los niños que tomen las instituciones públicas o privadas de bienestar social, </w:t>
      </w:r>
      <w:r w:rsidRPr="002D6F59">
        <w:rPr>
          <w:rFonts w:ascii="Century Gothic" w:hAnsi="Century Gothic" w:cs="Arial"/>
          <w:i/>
          <w:color w:val="000000"/>
          <w:sz w:val="20"/>
          <w:szCs w:val="20"/>
          <w:u w:val="single"/>
          <w:lang w:val="es-ES_tradnl"/>
        </w:rPr>
        <w:t>los tribunales</w:t>
      </w:r>
      <w:r w:rsidRPr="002D6F59">
        <w:rPr>
          <w:rFonts w:ascii="Century Gothic" w:hAnsi="Century Gothic" w:cs="Arial"/>
          <w:i/>
          <w:color w:val="000000"/>
          <w:sz w:val="20"/>
          <w:szCs w:val="20"/>
          <w:lang w:val="es-ES_tradnl"/>
        </w:rPr>
        <w:t xml:space="preserve">, las autoridades administrativas </w:t>
      </w:r>
      <w:r w:rsidRPr="002D6F59">
        <w:rPr>
          <w:rFonts w:ascii="Century Gothic" w:hAnsi="Century Gothic" w:cs="Arial"/>
          <w:i/>
          <w:color w:val="000000"/>
          <w:sz w:val="20"/>
          <w:szCs w:val="20"/>
          <w:u w:val="single"/>
          <w:lang w:val="es-ES_tradnl"/>
        </w:rPr>
        <w:t>o los órganos legislativos</w:t>
      </w:r>
      <w:r w:rsidRPr="002D6F59">
        <w:rPr>
          <w:rFonts w:ascii="Century Gothic" w:hAnsi="Century Gothic" w:cs="Arial"/>
          <w:i/>
          <w:color w:val="000000"/>
          <w:sz w:val="20"/>
          <w:szCs w:val="20"/>
          <w:lang w:val="es-ES_tradnl"/>
        </w:rPr>
        <w:t>, una consideración primordial a que se atenderá será el interés superior del niño. (subrayado fuera de texto)</w:t>
      </w:r>
    </w:p>
    <w:p w14:paraId="753C1E5E" w14:textId="77777777" w:rsidR="00BC121A" w:rsidRPr="002D6F59" w:rsidRDefault="00BC121A" w:rsidP="00B17AB2">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1EC67AFC" w14:textId="77777777" w:rsidR="00A4664D" w:rsidRPr="002D6F59" w:rsidRDefault="00BC121A" w:rsidP="00A4664D">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w:t>
      </w:r>
    </w:p>
    <w:p w14:paraId="468C7D1A" w14:textId="0DAC1C4D" w:rsidR="00BC121A" w:rsidRPr="002D6F59" w:rsidRDefault="00BC121A" w:rsidP="00A4664D">
      <w:pPr>
        <w:pStyle w:val="s10"/>
        <w:spacing w:after="0" w:line="276" w:lineRule="auto"/>
        <w:ind w:right="474"/>
        <w:jc w:val="both"/>
        <w:rPr>
          <w:rStyle w:val="s11"/>
          <w:rFonts w:ascii="Century Gothic" w:hAnsi="Century Gothic" w:cs="Arial"/>
          <w:i/>
          <w:color w:val="000000"/>
          <w:sz w:val="20"/>
          <w:szCs w:val="20"/>
          <w:lang w:val="es-ES_tradnl"/>
        </w:rPr>
      </w:pPr>
      <w:r w:rsidRPr="002D6F59">
        <w:rPr>
          <w:rStyle w:val="s11"/>
          <w:rFonts w:ascii="Century Gothic" w:hAnsi="Century Gothic" w:cs="Arial"/>
          <w:color w:val="000000"/>
        </w:rPr>
        <w:t>El artículo 19 de este instrumento internacional, compele a los Estados que, como Colombia, lo han ratificado, a proteger a los menores de cualquier forma de abuso, especialmente cuando se afectan su integridad sexual, a través de todas las medidas posibles, incluidas las legislativas:</w:t>
      </w:r>
    </w:p>
    <w:p w14:paraId="16A826B7" w14:textId="77777777" w:rsidR="00BC121A" w:rsidRPr="002D6F59" w:rsidRDefault="00BC121A" w:rsidP="00B17AB2">
      <w:pPr>
        <w:pStyle w:val="s10"/>
        <w:spacing w:before="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Artículo 19</w:t>
      </w:r>
    </w:p>
    <w:p w14:paraId="4BE1ECE8" w14:textId="77777777" w:rsidR="00BC121A" w:rsidRPr="002D6F59" w:rsidRDefault="00BC121A" w:rsidP="00B17AB2">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 xml:space="preserve">1. Los Estados Partes adoptarán todas las </w:t>
      </w:r>
      <w:r w:rsidRPr="002D6F59">
        <w:rPr>
          <w:rFonts w:ascii="Century Gothic" w:hAnsi="Century Gothic" w:cs="Arial"/>
          <w:i/>
          <w:color w:val="000000"/>
          <w:sz w:val="20"/>
          <w:szCs w:val="20"/>
          <w:u w:val="single"/>
          <w:lang w:val="es-ES_tradnl"/>
        </w:rPr>
        <w:t>medidas legislativas</w:t>
      </w:r>
      <w:r w:rsidRPr="002D6F59">
        <w:rPr>
          <w:rFonts w:ascii="Century Gothic" w:hAnsi="Century Gothic" w:cs="Arial"/>
          <w:i/>
          <w:color w:val="000000"/>
          <w:sz w:val="20"/>
          <w:szCs w:val="20"/>
          <w:lang w:val="es-ES_tradnl"/>
        </w:rPr>
        <w:t xml:space="preserve">, administrativas, sociales y educativas apropiadas para proteger al niño contra toda forma de perjuicio o abuso físico o mental, descuido o trato negligente, malos tratos o explotación, </w:t>
      </w:r>
      <w:r w:rsidRPr="002D6F59">
        <w:rPr>
          <w:rFonts w:ascii="Century Gothic" w:hAnsi="Century Gothic" w:cs="Arial"/>
          <w:i/>
          <w:color w:val="000000"/>
          <w:sz w:val="20"/>
          <w:szCs w:val="20"/>
          <w:u w:val="single"/>
          <w:lang w:val="es-ES_tradnl"/>
        </w:rPr>
        <w:t>incluido el abuso sexual</w:t>
      </w:r>
      <w:r w:rsidRPr="002D6F59">
        <w:rPr>
          <w:rFonts w:ascii="Century Gothic" w:hAnsi="Century Gothic" w:cs="Arial"/>
          <w:i/>
          <w:color w:val="000000"/>
          <w:sz w:val="20"/>
          <w:szCs w:val="20"/>
          <w:lang w:val="es-ES_tradnl"/>
        </w:rPr>
        <w:t xml:space="preserve">, mientras el niño se encuentre bajo la custodia de los padres, de un representante legal o de cualquier otra persona que lo tenga a su cargo </w:t>
      </w:r>
      <w:r w:rsidRPr="002D6F59">
        <w:rPr>
          <w:rFonts w:ascii="Century Gothic" w:hAnsi="Century Gothic" w:cs="Arial"/>
          <w:color w:val="000000"/>
          <w:sz w:val="20"/>
          <w:szCs w:val="20"/>
          <w:lang w:val="es-ES_tradnl"/>
        </w:rPr>
        <w:t>(subrayado fuera de texto)</w:t>
      </w:r>
      <w:r w:rsidRPr="002D6F59">
        <w:rPr>
          <w:rFonts w:ascii="Century Gothic" w:hAnsi="Century Gothic" w:cs="Arial"/>
          <w:i/>
          <w:color w:val="000000"/>
          <w:sz w:val="20"/>
          <w:szCs w:val="20"/>
          <w:lang w:val="es-ES_tradnl"/>
        </w:rPr>
        <w:t>.</w:t>
      </w:r>
    </w:p>
    <w:p w14:paraId="354A637D"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De igual forma el Informe Mundial de la UNICEF sobre la Violencia contra los Niños, Niñas y Adolescentes, realizó la siguiente recomendación:</w:t>
      </w:r>
    </w:p>
    <w:p w14:paraId="01D778C6" w14:textId="77777777" w:rsidR="00BC121A" w:rsidRPr="002D6F59" w:rsidRDefault="00BC121A" w:rsidP="00B17AB2">
      <w:pPr>
        <w:pStyle w:val="s10"/>
        <w:spacing w:line="276" w:lineRule="auto"/>
        <w:ind w:left="426" w:right="332"/>
        <w:jc w:val="both"/>
        <w:rPr>
          <w:rFonts w:ascii="Century Gothic" w:hAnsi="Century Gothic" w:cs="Arial"/>
          <w:color w:val="000000"/>
          <w:sz w:val="20"/>
          <w:szCs w:val="20"/>
          <w:lang w:val="es-ES_tradnl"/>
        </w:rPr>
      </w:pPr>
      <w:r w:rsidRPr="002D6F59">
        <w:rPr>
          <w:rFonts w:ascii="Century Gothic" w:hAnsi="Century Gothic" w:cs="Arial"/>
          <w:b/>
          <w:bCs/>
          <w:color w:val="000000"/>
          <w:sz w:val="20"/>
          <w:szCs w:val="20"/>
          <w:lang w:val="es-ES_tradnl"/>
        </w:rPr>
        <w:lastRenderedPageBreak/>
        <w:t>“9. Asegurar la rendición de cuentas y poner fin a la impunidad</w:t>
      </w:r>
    </w:p>
    <w:p w14:paraId="4240E68C" w14:textId="77777777" w:rsidR="00BC121A" w:rsidRPr="002D6F59" w:rsidRDefault="00BC121A" w:rsidP="00B17AB2">
      <w:pPr>
        <w:pStyle w:val="s10"/>
        <w:spacing w:line="276" w:lineRule="auto"/>
        <w:ind w:left="426" w:right="332"/>
        <w:jc w:val="both"/>
        <w:rPr>
          <w:rFonts w:ascii="Century Gothic" w:hAnsi="Century Gothic" w:cs="Arial"/>
          <w:bCs/>
          <w:iCs/>
          <w:color w:val="000000"/>
          <w:sz w:val="20"/>
          <w:szCs w:val="20"/>
          <w:lang w:val="es-ES_tradnl"/>
        </w:rPr>
      </w:pPr>
      <w:r w:rsidRPr="002D6F59">
        <w:rPr>
          <w:rFonts w:ascii="Century Gothic" w:hAnsi="Century Gothic" w:cs="Arial"/>
          <w:bCs/>
          <w:i/>
          <w:iCs/>
          <w:color w:val="000000"/>
          <w:sz w:val="20"/>
          <w:szCs w:val="20"/>
          <w:lang w:val="es-ES_tradnl"/>
        </w:rPr>
        <w:t xml:space="preserve">Recomiendo que los Estados aumenten la confianza de la comunidad en el sistema de justicia haciendo que todos los que cometan actos de violencia contra los niños rindan cuentas ante la justicia y </w:t>
      </w:r>
      <w:r w:rsidRPr="002D6F59">
        <w:rPr>
          <w:rFonts w:ascii="Century Gothic" w:hAnsi="Century Gothic" w:cs="Arial"/>
          <w:bCs/>
          <w:i/>
          <w:iCs/>
          <w:color w:val="000000"/>
          <w:sz w:val="20"/>
          <w:szCs w:val="20"/>
          <w:u w:val="single"/>
          <w:lang w:val="es-ES_tradnl"/>
        </w:rPr>
        <w:t>garantizando que se les responsabiliza de sus actos mediante procedimientos y sanciones penales, civiles, administrativas y profesionales apropiadas</w:t>
      </w:r>
      <w:r w:rsidRPr="002D6F59">
        <w:rPr>
          <w:rFonts w:ascii="Century Gothic" w:hAnsi="Century Gothic" w:cs="Arial"/>
          <w:bCs/>
          <w:i/>
          <w:iCs/>
          <w:color w:val="000000"/>
          <w:sz w:val="20"/>
          <w:szCs w:val="20"/>
          <w:lang w:val="es-ES_tradnl"/>
        </w:rPr>
        <w:t xml:space="preserve">. Se debe impedir que trabajen con niños personas culpables de delitos violentos y abusos sexuales contra los niños. </w:t>
      </w:r>
      <w:r w:rsidRPr="002D6F59">
        <w:rPr>
          <w:rFonts w:ascii="Century Gothic" w:hAnsi="Century Gothic" w:cs="Arial"/>
          <w:bCs/>
          <w:iCs/>
          <w:color w:val="000000"/>
          <w:sz w:val="20"/>
          <w:szCs w:val="20"/>
          <w:lang w:val="es-ES_tradnl"/>
        </w:rPr>
        <w:t>(Subrayado fuera de texto)</w:t>
      </w:r>
      <w:r w:rsidRPr="002D6F59">
        <w:rPr>
          <w:rStyle w:val="Refdenotaalpie"/>
          <w:rFonts w:ascii="Century Gothic" w:hAnsi="Century Gothic" w:cs="Arial"/>
          <w:bCs/>
          <w:iCs/>
          <w:color w:val="000000"/>
          <w:sz w:val="20"/>
          <w:szCs w:val="20"/>
          <w:lang w:val="es-ES_tradnl"/>
        </w:rPr>
        <w:footnoteReference w:id="3"/>
      </w:r>
      <w:r w:rsidRPr="002D6F59">
        <w:rPr>
          <w:rFonts w:ascii="Century Gothic" w:hAnsi="Century Gothic" w:cs="Arial"/>
          <w:bCs/>
          <w:iCs/>
          <w:color w:val="000000"/>
          <w:sz w:val="20"/>
          <w:szCs w:val="20"/>
          <w:lang w:val="es-ES_tradnl"/>
        </w:rPr>
        <w:t>.</w:t>
      </w:r>
    </w:p>
    <w:p w14:paraId="4ED95F8E" w14:textId="3FFEFDE7" w:rsidR="00BC121A" w:rsidRPr="002D6F59" w:rsidRDefault="00BC121A" w:rsidP="00B17AB2">
      <w:pPr>
        <w:pStyle w:val="s10"/>
        <w:spacing w:line="276" w:lineRule="auto"/>
        <w:jc w:val="both"/>
        <w:rPr>
          <w:rStyle w:val="s11"/>
          <w:rFonts w:ascii="Century Gothic" w:hAnsi="Century Gothic" w:cs="Arial"/>
          <w:bCs/>
          <w:iCs/>
          <w:color w:val="000000"/>
          <w:lang w:val="es-ES_tradnl"/>
        </w:rPr>
      </w:pPr>
      <w:r w:rsidRPr="002D6F59">
        <w:rPr>
          <w:rFonts w:ascii="Century Gothic" w:hAnsi="Century Gothic" w:cs="Arial"/>
          <w:bCs/>
          <w:iCs/>
          <w:color w:val="000000"/>
          <w:lang w:val="es-ES_tradnl"/>
        </w:rPr>
        <w:t xml:space="preserve">El presente Proyecto de Acto Legislativo cumple con estos estándares y recomendaciones internacionales, ya que la cadena perpetua es, como se verá más adelante, una medida legislativa proporcional y efectiva para proteger los derechos de los menores. En otras palabras, con este acto </w:t>
      </w:r>
      <w:r w:rsidR="002442EA" w:rsidRPr="002D6F59">
        <w:rPr>
          <w:rFonts w:ascii="Century Gothic" w:hAnsi="Century Gothic" w:cs="Arial"/>
          <w:bCs/>
          <w:iCs/>
          <w:color w:val="000000"/>
          <w:lang w:val="es-ES_tradnl"/>
        </w:rPr>
        <w:t>legislativo Colombia</w:t>
      </w:r>
      <w:r w:rsidRPr="002D6F59">
        <w:rPr>
          <w:rFonts w:ascii="Century Gothic" w:hAnsi="Century Gothic" w:cs="Arial"/>
          <w:bCs/>
          <w:iCs/>
          <w:color w:val="000000"/>
          <w:lang w:val="es-ES_tradnl"/>
        </w:rPr>
        <w:t xml:space="preserve"> está cumpliendo con las obligaciones de carácter internacional frente a la protección de los niños, niñas y adolescentes.</w:t>
      </w:r>
    </w:p>
    <w:p w14:paraId="04339B23" w14:textId="7F158E40"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Pero no sólo son los tratados internacio</w:t>
      </w:r>
      <w:r w:rsidR="002E4C81" w:rsidRPr="002D6F59">
        <w:rPr>
          <w:rStyle w:val="s11"/>
          <w:rFonts w:ascii="Century Gothic" w:hAnsi="Century Gothic" w:cs="Arial"/>
          <w:color w:val="000000"/>
        </w:rPr>
        <w:t>nales ratificados por Colombia y</w:t>
      </w:r>
      <w:r w:rsidRPr="002D6F59">
        <w:rPr>
          <w:rStyle w:val="s11"/>
          <w:rFonts w:ascii="Century Gothic" w:hAnsi="Century Gothic" w:cs="Arial"/>
          <w:color w:val="000000"/>
        </w:rPr>
        <w:t xml:space="preserve"> que hacen parte del bloque de constitucionalidad, los que </w:t>
      </w:r>
      <w:r w:rsidR="002E4C81" w:rsidRPr="002D6F59">
        <w:rPr>
          <w:rStyle w:val="s11"/>
          <w:rFonts w:ascii="Century Gothic" w:hAnsi="Century Gothic" w:cs="Arial"/>
          <w:color w:val="000000"/>
        </w:rPr>
        <w:t>establecen</w:t>
      </w:r>
      <w:r w:rsidRPr="002D6F59">
        <w:rPr>
          <w:rStyle w:val="s11"/>
          <w:rFonts w:ascii="Century Gothic" w:hAnsi="Century Gothic" w:cs="Arial"/>
          <w:color w:val="000000"/>
        </w:rPr>
        <w:t xml:space="preserve"> la prevalencia de los intereses de los menores. Es así como el artículo 44 de la carta política</w:t>
      </w:r>
      <w:r w:rsidR="002E4C81" w:rsidRPr="002D6F59">
        <w:rPr>
          <w:rStyle w:val="s11"/>
          <w:rFonts w:ascii="Century Gothic" w:hAnsi="Century Gothic" w:cs="Arial"/>
          <w:color w:val="000000"/>
        </w:rPr>
        <w:t>, dispone</w:t>
      </w:r>
      <w:r w:rsidRPr="002D6F59">
        <w:rPr>
          <w:rStyle w:val="s11"/>
          <w:rFonts w:ascii="Century Gothic" w:hAnsi="Century Gothic" w:cs="Arial"/>
          <w:color w:val="000000"/>
        </w:rPr>
        <w:t>:</w:t>
      </w:r>
    </w:p>
    <w:p w14:paraId="4AD34B4E" w14:textId="77777777"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p>
    <w:p w14:paraId="26FCD504"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bookmarkStart w:id="6" w:name="44"/>
      <w:r w:rsidRPr="002D6F59">
        <w:rPr>
          <w:rFonts w:ascii="Century Gothic" w:hAnsi="Century Gothic" w:cs="Arial"/>
          <w:b/>
          <w:bCs/>
          <w:i/>
          <w:color w:val="000000"/>
          <w:sz w:val="20"/>
          <w:szCs w:val="20"/>
          <w:lang w:val="es-ES_tradnl"/>
        </w:rPr>
        <w:t>ARTICULO 44. </w:t>
      </w:r>
      <w:bookmarkEnd w:id="6"/>
      <w:r w:rsidRPr="002D6F59">
        <w:rPr>
          <w:rFonts w:ascii="Century Gothic" w:hAnsi="Century Gothic" w:cs="Arial"/>
          <w:i/>
          <w:color w:val="000000"/>
          <w:sz w:val="20"/>
          <w:szCs w:val="20"/>
          <w:lang w:val="es-ES_tradnl"/>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4C84C096"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p>
    <w:p w14:paraId="1BDD14EF"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0B78D185"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p>
    <w:p w14:paraId="06A03C8E" w14:textId="3E9329A2" w:rsidR="005627A0" w:rsidRDefault="00BC121A" w:rsidP="005627A0">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Los derechos de los niños prevalecen s</w:t>
      </w:r>
      <w:r w:rsidR="005627A0">
        <w:rPr>
          <w:rFonts w:ascii="Century Gothic" w:hAnsi="Century Gothic" w:cs="Arial"/>
          <w:i/>
          <w:color w:val="000000"/>
          <w:sz w:val="20"/>
          <w:szCs w:val="20"/>
          <w:lang w:val="es-ES_tradnl"/>
        </w:rPr>
        <w:t>obre los derechos de los demás.</w:t>
      </w:r>
    </w:p>
    <w:p w14:paraId="2EB112BB" w14:textId="77777777" w:rsidR="005627A0" w:rsidRPr="005627A0" w:rsidRDefault="005627A0" w:rsidP="005627A0">
      <w:pPr>
        <w:pStyle w:val="s10"/>
        <w:spacing w:before="0" w:beforeAutospacing="0" w:after="0" w:afterAutospacing="0"/>
        <w:jc w:val="both"/>
        <w:rPr>
          <w:rStyle w:val="s11"/>
          <w:rFonts w:ascii="Century Gothic" w:hAnsi="Century Gothic" w:cs="Arial"/>
          <w:i/>
          <w:color w:val="000000"/>
          <w:sz w:val="20"/>
          <w:szCs w:val="20"/>
          <w:lang w:val="es-ES_tradnl"/>
        </w:rPr>
      </w:pPr>
    </w:p>
    <w:p w14:paraId="3526D60C" w14:textId="281F8B8B" w:rsidR="00BC121A" w:rsidRPr="002D6F59" w:rsidRDefault="00BC121A" w:rsidP="00B17AB2">
      <w:pPr>
        <w:pStyle w:val="s22"/>
        <w:spacing w:before="0" w:beforeAutospacing="0" w:after="0" w:afterAutospacing="0" w:line="276" w:lineRule="auto"/>
        <w:ind w:right="30"/>
        <w:jc w:val="both"/>
        <w:rPr>
          <w:rStyle w:val="s11"/>
          <w:rFonts w:ascii="Century Gothic" w:hAnsi="Century Gothic" w:cs="Arial"/>
          <w:color w:val="000000"/>
        </w:rPr>
      </w:pPr>
      <w:r w:rsidRPr="002D6F59">
        <w:rPr>
          <w:rStyle w:val="s11"/>
          <w:rFonts w:ascii="Century Gothic" w:hAnsi="Century Gothic" w:cs="Arial"/>
          <w:color w:val="000000"/>
        </w:rPr>
        <w:lastRenderedPageBreak/>
        <w:t>Como lo ha sostenido la Corte Constitucional</w:t>
      </w:r>
      <w:r w:rsidR="002442EA" w:rsidRPr="002D6F59">
        <w:rPr>
          <w:rStyle w:val="s11"/>
          <w:rFonts w:ascii="Century Gothic" w:hAnsi="Century Gothic" w:cs="Arial"/>
          <w:color w:val="000000"/>
        </w:rPr>
        <w:t>, en</w:t>
      </w:r>
      <w:r w:rsidRPr="002D6F59">
        <w:rPr>
          <w:rStyle w:val="s11"/>
          <w:rFonts w:ascii="Century Gothic" w:hAnsi="Century Gothic" w:cs="Arial"/>
          <w:color w:val="000000"/>
        </w:rPr>
        <w:t xml:space="preserve"> desarrollo el artículo mencionado, los delitos que afectan la libertad e integridad sexual de los menores son una fuente de riesgo a varios derechos fundamental</w:t>
      </w:r>
      <w:r w:rsidR="002E4C81" w:rsidRPr="002D6F59">
        <w:rPr>
          <w:rStyle w:val="s11"/>
          <w:rFonts w:ascii="Century Gothic" w:hAnsi="Century Gothic" w:cs="Arial"/>
          <w:color w:val="000000"/>
        </w:rPr>
        <w:t>es</w:t>
      </w:r>
      <w:r w:rsidRPr="002D6F59">
        <w:rPr>
          <w:rStyle w:val="s11"/>
          <w:rFonts w:ascii="Century Gothic" w:hAnsi="Century Gothic" w:cs="Arial"/>
          <w:color w:val="000000"/>
        </w:rPr>
        <w:t xml:space="preserve">, tales como la vida en condiciones dignas, la libertad, la </w:t>
      </w:r>
      <w:r w:rsidR="002442EA" w:rsidRPr="002D6F59">
        <w:rPr>
          <w:rStyle w:val="s11"/>
          <w:rFonts w:ascii="Century Gothic" w:hAnsi="Century Gothic" w:cs="Arial"/>
          <w:color w:val="000000"/>
        </w:rPr>
        <w:t>igualdad</w:t>
      </w:r>
      <w:r w:rsidRPr="002D6F59">
        <w:rPr>
          <w:rStyle w:val="s11"/>
          <w:rFonts w:ascii="Century Gothic" w:hAnsi="Century Gothic" w:cs="Arial"/>
          <w:color w:val="000000"/>
        </w:rPr>
        <w:t xml:space="preserve">, la integridad personal.  En específico la corte insiste en </w:t>
      </w:r>
      <w:r w:rsidRPr="002D6F59">
        <w:rPr>
          <w:rStyle w:val="s11"/>
          <w:rFonts w:ascii="Century Gothic" w:hAnsi="Century Gothic" w:cs="Arial"/>
          <w:b/>
          <w:i/>
          <w:color w:val="000000"/>
        </w:rPr>
        <w:t>“el Estado tiene la obligación de actuar con la mayor diligencia en su investigación, juzgamiento y sanción”</w:t>
      </w:r>
      <w:r w:rsidRPr="002D6F59">
        <w:rPr>
          <w:rStyle w:val="Refdenotaalpie"/>
          <w:rFonts w:ascii="Century Gothic" w:hAnsi="Century Gothic" w:cs="Arial"/>
          <w:b/>
          <w:i/>
          <w:color w:val="000000"/>
        </w:rPr>
        <w:footnoteReference w:id="4"/>
      </w:r>
      <w:r w:rsidRPr="002D6F59">
        <w:rPr>
          <w:rStyle w:val="s11"/>
          <w:rFonts w:ascii="Century Gothic" w:hAnsi="Century Gothic" w:cs="Arial"/>
          <w:b/>
          <w:i/>
          <w:color w:val="000000"/>
        </w:rPr>
        <w:t xml:space="preserve">. </w:t>
      </w:r>
      <w:r w:rsidRPr="002D6F59">
        <w:rPr>
          <w:rStyle w:val="s11"/>
          <w:rFonts w:ascii="Century Gothic" w:hAnsi="Century Gothic" w:cs="Arial"/>
          <w:color w:val="000000"/>
        </w:rPr>
        <w:t>(Subrayado y negrilla fuera de texto).</w:t>
      </w:r>
    </w:p>
    <w:p w14:paraId="2DEE4B06" w14:textId="5D390B8A"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Así las cosas, del mencionado artículo 44 se deducen algunos</w:t>
      </w:r>
      <w:r w:rsidR="002E4C81" w:rsidRPr="002D6F59">
        <w:rPr>
          <w:rFonts w:ascii="Century Gothic" w:hAnsi="Century Gothic" w:cs="Arial"/>
          <w:color w:val="000000"/>
        </w:rPr>
        <w:t xml:space="preserve"> de</w:t>
      </w:r>
      <w:r w:rsidRPr="002D6F59">
        <w:rPr>
          <w:rFonts w:ascii="Century Gothic" w:hAnsi="Century Gothic" w:cs="Arial"/>
          <w:color w:val="000000"/>
        </w:rPr>
        <w:t xml:space="preserve"> los derechos fundamentales que radican en cabeza de los niños, niñas y adolescentes, y, consagra los siguientes principios: </w:t>
      </w:r>
      <w:r w:rsidRPr="002D6F59">
        <w:rPr>
          <w:rFonts w:ascii="Century Gothic" w:hAnsi="Century Gothic" w:cs="Arial"/>
          <w:b/>
          <w:color w:val="000000"/>
        </w:rPr>
        <w:t>i)</w:t>
      </w:r>
      <w:r w:rsidRPr="002D6F59">
        <w:rPr>
          <w:rFonts w:ascii="Century Gothic" w:hAnsi="Century Gothic" w:cs="Arial"/>
          <w:color w:val="000000"/>
        </w:rPr>
        <w:t xml:space="preserve"> el principio de la protección integral, enunciado como el deber de proteger a los niños contra todo tipo de violencia física o moral, o abandono, entre otros situaciones que vulneren sus derechos, </w:t>
      </w:r>
      <w:r w:rsidRPr="002D6F59">
        <w:rPr>
          <w:rFonts w:ascii="Century Gothic" w:hAnsi="Century Gothic" w:cs="Arial"/>
          <w:b/>
          <w:color w:val="000000"/>
        </w:rPr>
        <w:t>ii)</w:t>
      </w:r>
      <w:r w:rsidRPr="002D6F59">
        <w:rPr>
          <w:rFonts w:ascii="Century Gothic" w:hAnsi="Century Gothic" w:cs="Arial"/>
          <w:color w:val="000000"/>
        </w:rPr>
        <w:t xml:space="preserve"> el principio de corresponsabilidad, que consiste primordialmente en el deber de la familia, la sociedad y el Estado de asistir y proteger al niño para garantizar su desarrollo y el ejercicio pleno de sus derechos, y </w:t>
      </w:r>
      <w:r w:rsidRPr="002D6F59">
        <w:rPr>
          <w:rFonts w:ascii="Century Gothic" w:hAnsi="Century Gothic" w:cs="Arial"/>
          <w:b/>
          <w:color w:val="000000"/>
        </w:rPr>
        <w:t>iii)</w:t>
      </w:r>
      <w:r w:rsidRPr="002D6F59">
        <w:rPr>
          <w:rFonts w:ascii="Century Gothic" w:hAnsi="Century Gothic" w:cs="Arial"/>
          <w:color w:val="000000"/>
        </w:rPr>
        <w:t xml:space="preserve"> el principio de la prevalencia de los derechos de los niños sobre los derechos de los demás.</w:t>
      </w:r>
    </w:p>
    <w:p w14:paraId="29C0F5A8" w14:textId="794F16B4"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Como se puede ver, el marco normativo impone dos obligaciones al Estado colombiano q</w:t>
      </w:r>
      <w:r w:rsidR="002E4C81" w:rsidRPr="002D6F59">
        <w:rPr>
          <w:rFonts w:ascii="Century Gothic" w:hAnsi="Century Gothic" w:cs="Arial"/>
          <w:color w:val="000000"/>
        </w:rPr>
        <w:t>ue resulta pertinente mencionar y</w:t>
      </w:r>
      <w:r w:rsidRPr="002D6F59">
        <w:rPr>
          <w:rFonts w:ascii="Century Gothic" w:hAnsi="Century Gothic" w:cs="Arial"/>
          <w:color w:val="000000"/>
        </w:rPr>
        <w:t xml:space="preserve"> son los siguientes: </w:t>
      </w:r>
    </w:p>
    <w:p w14:paraId="6A9CE4A7" w14:textId="77777777" w:rsidR="00BC121A" w:rsidRPr="002D6F59" w:rsidRDefault="00BC121A" w:rsidP="00B17AB2">
      <w:pPr>
        <w:pStyle w:val="s10"/>
        <w:numPr>
          <w:ilvl w:val="0"/>
          <w:numId w:val="43"/>
        </w:numPr>
        <w:spacing w:after="0" w:line="276" w:lineRule="auto"/>
        <w:jc w:val="both"/>
        <w:rPr>
          <w:rFonts w:ascii="Century Gothic" w:hAnsi="Century Gothic" w:cs="Arial"/>
          <w:color w:val="000000"/>
        </w:rPr>
      </w:pPr>
      <w:r w:rsidRPr="002D6F59">
        <w:rPr>
          <w:rFonts w:ascii="Century Gothic" w:hAnsi="Century Gothic" w:cs="Arial"/>
          <w:color w:val="000000"/>
        </w:rPr>
        <w:t>La obligación de propender por la protección integral de los niños, niñas y adolescentes por medio de las medidas de orden legislativo, administrativo o jurisdiccional, que sean necesarias, y</w:t>
      </w:r>
    </w:p>
    <w:p w14:paraId="1FFCC478" w14:textId="77777777" w:rsidR="00BC121A" w:rsidRPr="002D6F59" w:rsidRDefault="00BC121A" w:rsidP="00B17AB2">
      <w:pPr>
        <w:pStyle w:val="s10"/>
        <w:numPr>
          <w:ilvl w:val="0"/>
          <w:numId w:val="43"/>
        </w:numPr>
        <w:spacing w:after="0" w:line="276" w:lineRule="auto"/>
        <w:jc w:val="both"/>
        <w:rPr>
          <w:rFonts w:ascii="Century Gothic" w:hAnsi="Century Gothic" w:cs="Arial"/>
          <w:color w:val="000000"/>
        </w:rPr>
      </w:pPr>
      <w:r w:rsidRPr="002D6F59">
        <w:rPr>
          <w:rFonts w:ascii="Century Gothic" w:hAnsi="Century Gothic" w:cs="Arial"/>
          <w:color w:val="000000"/>
        </w:rPr>
        <w:t>La obligación a cargo del órgano legislativo, de las autoridades administrativas y judiciales de atender el interés superior del niño en todas aquellas decisiones afecten o puedan afectar sus derechos, lo cual se traduce, a su vez, en la prevalencia de sus derechos, en caso de conflicto con los derechos de otras personas.</w:t>
      </w:r>
    </w:p>
    <w:p w14:paraId="3F09F55A"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El principio de la prevalencia del interés superior del niño, por su propia naturaleza, es relevante cuando dicho interés entra en conflicto con otras expectativas o derechos, que a pesar de gozar de reconocimiento y protección constitucional o legal deben ceder frente a los derechos de los </w:t>
      </w:r>
      <w:r w:rsidRPr="002D6F59">
        <w:rPr>
          <w:rFonts w:ascii="Century Gothic" w:hAnsi="Century Gothic" w:cs="Arial"/>
          <w:color w:val="000000"/>
        </w:rPr>
        <w:lastRenderedPageBreak/>
        <w:t>niños, niñas y adolescentes. Tal circunstancia ha llevado a la Corte Constitucional a destacar el carácter relacional del principio de la prevalencia del interés superior del niño, en los siguientes términos:</w:t>
      </w:r>
    </w:p>
    <w:p w14:paraId="7C165BA7" w14:textId="77777777" w:rsidR="00BC121A" w:rsidRPr="002D6F59" w:rsidRDefault="00BC121A" w:rsidP="00B17AB2">
      <w:pPr>
        <w:pStyle w:val="s10"/>
        <w:spacing w:line="276" w:lineRule="auto"/>
        <w:ind w:left="360" w:right="332"/>
        <w:jc w:val="both"/>
        <w:rPr>
          <w:rFonts w:ascii="Century Gothic" w:hAnsi="Century Gothic" w:cs="Arial"/>
          <w:i/>
          <w:iCs/>
          <w:color w:val="000000"/>
          <w:sz w:val="20"/>
          <w:szCs w:val="20"/>
        </w:rPr>
      </w:pPr>
      <w:r w:rsidRPr="002D6F59">
        <w:rPr>
          <w:rFonts w:ascii="Century Gothic" w:hAnsi="Century Gothic" w:cs="Arial"/>
          <w:i/>
          <w:iCs/>
          <w:color w:val="000000"/>
          <w:sz w:val="20"/>
          <w:szCs w:val="20"/>
        </w:rPr>
        <w:t>El denominado "interés superior" es un concepto de suma importancia que transformó sustancialmente el enfoque tradicional que informaba el tratamiento de los menores de edad. En el pasado, el menor era considerado "menos que los demás" y, por consiguiente, su intervención y participación, en la vida jurídica (salvo algunos actos en que podía intervenir mediante representante) y, en la gran mayoría de situaciones que lo afectaban, prácticamente era inexistente o muy reducida.</w:t>
      </w:r>
    </w:p>
    <w:p w14:paraId="00C70D55" w14:textId="77777777" w:rsidR="00BC121A" w:rsidRPr="002D6F59" w:rsidRDefault="00BC121A" w:rsidP="00B17AB2">
      <w:pPr>
        <w:pStyle w:val="s10"/>
        <w:spacing w:line="276" w:lineRule="auto"/>
        <w:ind w:left="360" w:right="332"/>
        <w:jc w:val="both"/>
        <w:rPr>
          <w:rFonts w:ascii="Century Gothic" w:hAnsi="Century Gothic" w:cs="Arial"/>
          <w:i/>
          <w:iCs/>
          <w:color w:val="000000"/>
          <w:sz w:val="20"/>
          <w:szCs w:val="20"/>
        </w:rPr>
      </w:pPr>
      <w:r w:rsidRPr="002D6F59">
        <w:rPr>
          <w:rFonts w:ascii="Century Gothic" w:hAnsi="Century Gothic" w:cs="Arial"/>
          <w:i/>
          <w:iCs/>
          <w:color w:val="000000"/>
          <w:sz w:val="20"/>
          <w:szCs w:val="20"/>
        </w:rPr>
        <w:t>(…)</w:t>
      </w:r>
    </w:p>
    <w:p w14:paraId="6F572C80" w14:textId="77777777" w:rsidR="00BC121A" w:rsidRPr="002D6F59" w:rsidRDefault="00BC121A" w:rsidP="00B17AB2">
      <w:pPr>
        <w:pStyle w:val="s10"/>
        <w:spacing w:line="276" w:lineRule="auto"/>
        <w:ind w:left="360" w:right="332"/>
        <w:jc w:val="both"/>
        <w:rPr>
          <w:rFonts w:ascii="Century Gothic" w:hAnsi="Century Gothic" w:cs="Arial"/>
          <w:color w:val="000000"/>
          <w:sz w:val="20"/>
          <w:szCs w:val="20"/>
        </w:rPr>
      </w:pPr>
      <w:r w:rsidRPr="002D6F59">
        <w:rPr>
          <w:rFonts w:ascii="Century Gothic" w:hAnsi="Century Gothic" w:cs="Arial"/>
          <w:i/>
          <w:iCs/>
          <w:color w:val="000000"/>
          <w:sz w:val="20"/>
          <w:szCs w:val="20"/>
        </w:rPr>
        <w:t xml:space="preserve">La más especializada doctrina coincide en señalar que el interés superior del menor, se caracteriza por ser: (1) real, en cuanto se relaciona con las particulares necesidades del menor y con sus especiales aptitudes físicas y sicológicas; (2) independiente del criterio arbitrario de los demás y, por tanto, su existencia y protección no dependen de la voluntad o capricho de los padres, en tanto se trata de intereses jurídicamente autónomos; (3) </w:t>
      </w:r>
      <w:r w:rsidRPr="002D6F59">
        <w:rPr>
          <w:rFonts w:ascii="Century Gothic" w:hAnsi="Century Gothic" w:cs="Arial"/>
          <w:i/>
          <w:iCs/>
          <w:color w:val="000000"/>
          <w:sz w:val="20"/>
          <w:szCs w:val="20"/>
          <w:u w:val="single"/>
        </w:rPr>
        <w:t xml:space="preserve">un concepto relacional, pues la garantía de su protección se predica frente a la existencia de intereses en conflicto cuyo ejercicio de ponderación debe ser guiado por la protección de los derechos del menor; </w:t>
      </w:r>
      <w:r w:rsidRPr="002D6F59">
        <w:rPr>
          <w:rFonts w:ascii="Century Gothic" w:hAnsi="Century Gothic" w:cs="Arial"/>
          <w:i/>
          <w:iCs/>
          <w:color w:val="000000"/>
          <w:sz w:val="20"/>
          <w:szCs w:val="20"/>
        </w:rPr>
        <w:t>(4) la garantía de un interés jurídico supremo consistente en el desarrollo integral y sano de la personalidad del menor. (Sentencia T – 408 de 1995. M.P. Eduardo Cifuentes Muñoz) Subrayado fuera de texto.</w:t>
      </w:r>
      <w:r w:rsidRPr="002D6F59">
        <w:rPr>
          <w:rFonts w:ascii="Century Gothic" w:hAnsi="Century Gothic" w:cs="Arial"/>
          <w:color w:val="000000"/>
          <w:sz w:val="20"/>
          <w:szCs w:val="20"/>
        </w:rPr>
        <w:t xml:space="preserve"> </w:t>
      </w:r>
    </w:p>
    <w:p w14:paraId="7E53144C"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Por lo tanto, en el caso de las reformas legislativas encaminadas a modificar el régimen penal aplicable a las personas que cometen delitos contra niños, niñas y adolescentes puede presentarse una contradicción entre el interés de las personas investigadas y juzgadas, y el interés de los niños que han sido víctimas de los delitos respectivos.</w:t>
      </w:r>
    </w:p>
    <w:p w14:paraId="543E9F45"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Esta contradicción puede ser resuelta por el legislador, en ejercicio de su potestad de configuración normativa y en el ámbito de la política criminal del Estado, a favor del interés superior del niño, materializando su carácter prevalente. </w:t>
      </w:r>
    </w:p>
    <w:p w14:paraId="0170F70E"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La Corte Constitucional ha destacado que lo anterior no corresponde a una decisión caprichosa del legislador, sino que, por el contrario, responde a un ejercicio de ponderación en donde el órgano legislativo puede definir un tratamiento legal diferenciado para las personas procesadas y condenadas por delitos contra la infancia y la adolescencia, con el fin de materializar la </w:t>
      </w:r>
      <w:r w:rsidRPr="002D6F59">
        <w:rPr>
          <w:rFonts w:ascii="Century Gothic" w:hAnsi="Century Gothic" w:cs="Arial"/>
          <w:color w:val="000000"/>
        </w:rPr>
        <w:lastRenderedPageBreak/>
        <w:t>prevalencia del interés superior del niño. A propósito de la prohibición de aplicar el principio de oportunidad, ha manifestado lo siguiente:</w:t>
      </w:r>
    </w:p>
    <w:p w14:paraId="65C29785"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rPr>
        <w:t xml:space="preserve">No debe perderse de vista que los artículos iniciales del Código de la Infancia resaltan tal prevalencia al advertir que </w:t>
      </w:r>
      <w:r w:rsidRPr="002D6F59">
        <w:rPr>
          <w:rFonts w:ascii="Century Gothic" w:hAnsi="Century Gothic" w:cs="Arial"/>
          <w:i/>
          <w:color w:val="000000"/>
          <w:sz w:val="20"/>
          <w:szCs w:val="20"/>
          <w:u w:val="single"/>
        </w:rPr>
        <w:t>en todo</w:t>
      </w:r>
      <w:r w:rsidRPr="002D6F59">
        <w:rPr>
          <w:rFonts w:ascii="Century Gothic" w:hAnsi="Century Gothic" w:cs="Arial"/>
          <w:i/>
          <w:color w:val="000000"/>
          <w:sz w:val="20"/>
          <w:szCs w:val="20"/>
        </w:rPr>
        <w:t xml:space="preserve"> </w:t>
      </w:r>
      <w:r w:rsidRPr="002D6F59">
        <w:rPr>
          <w:rFonts w:ascii="Century Gothic" w:hAnsi="Century Gothic" w:cs="Arial"/>
          <w:i/>
          <w:color w:val="000000"/>
          <w:sz w:val="20"/>
          <w:szCs w:val="20"/>
          <w:u w:val="single"/>
        </w:rPr>
        <w:t>"acto, decisión o medida administrativa, judicial o de cualquier naturaleza que deba adoptarse en relación con los niños, las niñas y los adolescentes, prevalecerán los derechos de estos, en especial si existe conflicto entre sus derechos fundamentales con los de cualquier otra persona." Y que "En caso de conflicto entre dos o más disposiciones legales, administrativas o disciplinarias, se aplicará la norma más favorable al interés superior del niño, niña o adolescente</w:t>
      </w:r>
      <w:r w:rsidRPr="002D6F59">
        <w:rPr>
          <w:rFonts w:ascii="Century Gothic" w:hAnsi="Century Gothic" w:cs="Arial"/>
          <w:i/>
          <w:color w:val="000000"/>
          <w:sz w:val="20"/>
          <w:szCs w:val="20"/>
        </w:rPr>
        <w:t>" (art. 9º Ley 1098 de 2006).</w:t>
      </w:r>
    </w:p>
    <w:p w14:paraId="753BB570"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u w:val="single"/>
        </w:rPr>
      </w:pPr>
      <w:r w:rsidRPr="002D6F59">
        <w:rPr>
          <w:rFonts w:ascii="Century Gothic" w:hAnsi="Century Gothic" w:cs="Arial"/>
          <w:i/>
          <w:color w:val="000000"/>
          <w:sz w:val="20"/>
          <w:szCs w:val="20"/>
        </w:rPr>
        <w:t xml:space="preserve">De conformidad con las conclusiones del primer capítulo de esta providencia, los derechos de los niños tienen prelación sobre los derechos de los demás y que tanto el texto constitucional como los tratados internacionales suscritos por Colombia se encaminan a garantizar el mayor grado de protección posible. Este énfasis especial del sistema jurídico permite entender como razonable que el legislador no autorice que la acción penal se suspenda, se renuncie o se termine cuando el delito de que se trata afecta gravemente la integridad, la libertad y la formación sexual del menor. </w:t>
      </w:r>
      <w:r w:rsidRPr="002D6F59">
        <w:rPr>
          <w:rFonts w:ascii="Century Gothic" w:hAnsi="Century Gothic" w:cs="Arial"/>
          <w:i/>
          <w:color w:val="000000"/>
          <w:sz w:val="20"/>
          <w:szCs w:val="20"/>
          <w:u w:val="single"/>
        </w:rPr>
        <w:t>En otras palabras, el interés superior del menor, es decir, "el imperativo que obliga a todas las personas a garantizar la satisfacción integral y simultánea de todos sus Derechos Humanos, que son universales, prevalentes e interdependientes" (art. 8º Ley 1098 de 2006), y que es criterio de interpretación de las normas demandadas, impone que, frente a la opción de renunciar a la acción penal o suspenderla, el Estado deba escoger por investigarla y sancionarla.</w:t>
      </w:r>
    </w:p>
    <w:p w14:paraId="0EAC731D"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u w:val="single"/>
        </w:rPr>
        <w:t>En primer lugar, la Corte evidencia que la protección de los derechos de los menores no sería efectiva si el Estado renunciara a sancionar las conductas que afectan de manera grave derechos de categoría prevalente. La</w:t>
      </w:r>
      <w:r w:rsidRPr="002D6F59">
        <w:rPr>
          <w:rFonts w:ascii="Century Gothic" w:hAnsi="Century Gothic" w:cs="Arial"/>
          <w:i/>
          <w:color w:val="000000"/>
          <w:sz w:val="20"/>
          <w:szCs w:val="20"/>
        </w:rPr>
        <w:t xml:space="preserve"> función disuasiva de la pena se encamina a que los abusos cometidos contra los niños y adolescentes dejen de cometerse, por lo que renunciar a ella despojaría al Estado de una herramienta crucial en la lucha contra el abuso infantil. </w:t>
      </w:r>
      <w:r w:rsidRPr="002D6F59">
        <w:rPr>
          <w:rFonts w:ascii="Century Gothic" w:hAnsi="Century Gothic" w:cs="Arial"/>
          <w:i/>
          <w:color w:val="000000"/>
          <w:sz w:val="20"/>
          <w:szCs w:val="20"/>
          <w:u w:val="single"/>
        </w:rPr>
        <w:t>Se inaplicaría, por esta vía, la imposición de protección integral que la propia Ley 1098 ha previsto para los menores, cuando dispuso "Se entiende por protección integral de los niños, niñas y adolescentes el reconocimiento como sujetos de derechos, la garantía y cumplimiento de los mismos, la prevención de su amenaza o vulneración y la seguridad de su restablecimiento inmediato en desarrollo del principio del interés superior.</w:t>
      </w:r>
      <w:r w:rsidRPr="002D6F59">
        <w:rPr>
          <w:rFonts w:ascii="Century Gothic" w:hAnsi="Century Gothic" w:cs="Arial"/>
          <w:i/>
          <w:color w:val="000000"/>
          <w:sz w:val="20"/>
          <w:szCs w:val="20"/>
        </w:rPr>
        <w:t>"</w:t>
      </w:r>
    </w:p>
    <w:p w14:paraId="08C8E8E5"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rPr>
        <w:t>(…)</w:t>
      </w:r>
    </w:p>
    <w:p w14:paraId="1E9B4600"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rPr>
        <w:t xml:space="preserve">A los delitos contra el derecho internacional humanitario, a los delitos de lesa humanidad, se suman entonces, por virtud de los tratados internacionales de protección a la niñez, los delitos que menoscaban derechos íntimamente ligados con la esencia y dignidad del ser humano, como su integridad sexual, personal y su libertad. </w:t>
      </w:r>
      <w:r w:rsidRPr="002D6F59">
        <w:rPr>
          <w:rFonts w:ascii="Century Gothic" w:hAnsi="Century Gothic" w:cs="Arial"/>
          <w:i/>
          <w:color w:val="000000"/>
          <w:sz w:val="20"/>
          <w:szCs w:val="20"/>
          <w:u w:val="single"/>
        </w:rPr>
        <w:t xml:space="preserve">Por ello, atendiendo a los limites mismos del principio de oportunidad, el </w:t>
      </w:r>
      <w:r w:rsidRPr="002D6F59">
        <w:rPr>
          <w:rFonts w:ascii="Century Gothic" w:hAnsi="Century Gothic" w:cs="Arial"/>
          <w:i/>
          <w:color w:val="000000"/>
          <w:sz w:val="20"/>
          <w:szCs w:val="20"/>
          <w:u w:val="single"/>
        </w:rPr>
        <w:lastRenderedPageBreak/>
        <w:t xml:space="preserve">Estado no está autorizado para omitir, suspender o renunciar a la acción penal cuando el afectado en estos casos es un menor de edad. </w:t>
      </w:r>
      <w:r w:rsidRPr="002D6F59">
        <w:rPr>
          <w:rFonts w:ascii="Century Gothic" w:hAnsi="Century Gothic" w:cs="Arial"/>
          <w:i/>
          <w:color w:val="000000"/>
          <w:sz w:val="20"/>
          <w:szCs w:val="20"/>
        </w:rPr>
        <w:t>(Sentencia C-738/2008) Subrayado fuera de texto</w:t>
      </w:r>
    </w:p>
    <w:p w14:paraId="45D9394E" w14:textId="5F4AACDB"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Finalmente, para concluir este punto, en primer lugar, se reitera que estas reglas han sido definidas por el Congreso de la República en ejercicio de su libertad de configuración normativa, que a su vez hace parte de la política criminal del Estado. La Corte Constitucional ha abordado esta facultad del legislador, en lo que atañe al otorgamiento de beneficios </w:t>
      </w:r>
      <w:r w:rsidR="00E92087" w:rsidRPr="002D6F59">
        <w:rPr>
          <w:rFonts w:ascii="Century Gothic" w:hAnsi="Century Gothic" w:cs="Arial"/>
          <w:color w:val="000000"/>
        </w:rPr>
        <w:t>penales, y explica lo siguiente</w:t>
      </w:r>
      <w:r w:rsidRPr="002D6F59">
        <w:rPr>
          <w:rFonts w:ascii="Century Gothic" w:hAnsi="Century Gothic" w:cs="Arial"/>
          <w:color w:val="000000"/>
        </w:rPr>
        <w:t xml:space="preserve">: </w:t>
      </w:r>
    </w:p>
    <w:p w14:paraId="39782DDE" w14:textId="77777777" w:rsidR="00BC121A" w:rsidRPr="002D6F59" w:rsidRDefault="00BC121A" w:rsidP="00B17AB2">
      <w:pPr>
        <w:pStyle w:val="s10"/>
        <w:tabs>
          <w:tab w:val="left" w:pos="8647"/>
        </w:tabs>
        <w:spacing w:line="276" w:lineRule="auto"/>
        <w:ind w:left="360" w:right="378"/>
        <w:jc w:val="both"/>
        <w:rPr>
          <w:rFonts w:ascii="Century Gothic" w:hAnsi="Century Gothic" w:cs="Arial"/>
          <w:i/>
          <w:color w:val="000000"/>
          <w:sz w:val="20"/>
          <w:szCs w:val="20"/>
        </w:rPr>
      </w:pPr>
      <w:r w:rsidRPr="002D6F59">
        <w:rPr>
          <w:rFonts w:ascii="Century Gothic" w:hAnsi="Century Gothic" w:cs="Arial"/>
          <w:i/>
          <w:color w:val="000000"/>
          <w:sz w:val="20"/>
          <w:szCs w:val="20"/>
        </w:rPr>
        <w:t xml:space="preserve">Con base en los precedentes jurisprudenciales se tiene que </w:t>
      </w:r>
      <w:r w:rsidRPr="002D6F59">
        <w:rPr>
          <w:rFonts w:ascii="Century Gothic" w:hAnsi="Century Gothic" w:cs="Arial"/>
          <w:i/>
          <w:color w:val="000000"/>
          <w:sz w:val="20"/>
          <w:szCs w:val="20"/>
          <w:u w:val="single"/>
        </w:rPr>
        <w:t>en materia de concesión de beneficios penales</w:t>
      </w:r>
      <w:r w:rsidRPr="002D6F59">
        <w:rPr>
          <w:rFonts w:ascii="Century Gothic" w:hAnsi="Century Gothic" w:cs="Arial"/>
          <w:i/>
          <w:color w:val="000000"/>
          <w:sz w:val="20"/>
          <w:szCs w:val="20"/>
        </w:rPr>
        <w:t xml:space="preserve">, (i) </w:t>
      </w:r>
      <w:r w:rsidRPr="002D6F59">
        <w:rPr>
          <w:rFonts w:ascii="Century Gothic" w:hAnsi="Century Gothic" w:cs="Arial"/>
          <w:i/>
          <w:color w:val="000000"/>
          <w:sz w:val="20"/>
          <w:szCs w:val="20"/>
          <w:u w:val="single"/>
        </w:rPr>
        <w:t>el legislador cuenta con amplio margen de configuración normativa, en tanto que es una manifestación de su competencia para fijar la política criminal del Estado</w:t>
      </w:r>
      <w:r w:rsidRPr="002D6F59">
        <w:rPr>
          <w:rFonts w:ascii="Century Gothic" w:hAnsi="Century Gothic" w:cs="Arial"/>
          <w:i/>
          <w:color w:val="000000"/>
          <w:sz w:val="20"/>
          <w:szCs w:val="20"/>
        </w:rPr>
        <w:t>; (ii) con todo, la concesión o negación de beneficios penales no puede desconocer el derecho a la igualdad; (iii) se ajustan, prima facie, a la Constitución medidas legislativas mediante las cuales se restringe la concesión de beneficios penales en casos de delitos considerados particularmente graves para la sociedad; (iv) el Estado colombiano ha asumido compromisos internacionales en materia de combate contra el terrorismo, razón de más para que el legislador limite la concesión de beneficios penales en la materia. (Sentencia C-073 de 2010. M.P. Humberto Sierra Porto) Subrayado fuera de texto.</w:t>
      </w:r>
    </w:p>
    <w:p w14:paraId="528470E5"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En el mismo sentido, como se puede ver en la exposición de motivos de la Ley 1098 de 2006 y de la Ley 1236 de 2008, por medio de la cual se modificaron algunos delitos referidos al abuso sexual, en opinión del legislador el aumento de las penas y la prohibición de otorgar beneficios penales, constituye un mecanismo idóneo para materializar el principio de la protección integral de los niños, niñas y adolescentes, que deberían inducir cambios culturales favorables a la garantía de sus derechos. La exposición de motivos de la Ley 1098 de 2006, incluye el siguiente apartado:</w:t>
      </w:r>
    </w:p>
    <w:p w14:paraId="3DEBD377"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Por ello el país tiene una deuda con los niños y las niñas que son víctimas de los vejámenes más atroces, lo que hace necesario promover normas persuasivas que impongan sanciones severas contra los adultos que los maltraten y que cometan delitos contra ellos y ellas. En aras de la prevalencia de los derechos de los niños se hace imperativo aumentar las penas de los delitos en los que haya una víctima menor de edad, así como negar los beneficios jurídicos establecidos en la ley penal, salvo los de orden constitucional, para quienes cometan delitos contra los niños y las niñas. </w:t>
      </w:r>
    </w:p>
    <w:p w14:paraId="25E8A733" w14:textId="429E7E17" w:rsidR="00BC121A" w:rsidRPr="002D6F59" w:rsidRDefault="00BC121A" w:rsidP="00B17AB2">
      <w:pPr>
        <w:pStyle w:val="s10"/>
        <w:spacing w:line="276" w:lineRule="auto"/>
        <w:jc w:val="both"/>
        <w:rPr>
          <w:rStyle w:val="s11"/>
          <w:rFonts w:ascii="Century Gothic" w:hAnsi="Century Gothic" w:cs="Arial"/>
          <w:color w:val="000000"/>
        </w:rPr>
      </w:pPr>
      <w:r w:rsidRPr="002D6F59">
        <w:rPr>
          <w:rFonts w:ascii="Century Gothic" w:hAnsi="Century Gothic" w:cs="Arial"/>
          <w:color w:val="000000"/>
        </w:rPr>
        <w:lastRenderedPageBreak/>
        <w:t>Sin lugar a dudas, el hecho de contar con una legislación que contemple sanciones para quienes ejerzan castigos corporales o maltrato infantil por sí misma no soluciona el problema. Sin embargo, conseguir su aplicación es en sí misma es una manera de educar a la sociedad y de caminar hacia los cambios culturales que tanto requiere esta sociedad deprimida</w:t>
      </w:r>
      <w:r w:rsidR="00D66184" w:rsidRPr="002D6F59">
        <w:rPr>
          <w:rFonts w:ascii="Century Gothic" w:hAnsi="Century Gothic" w:cs="Arial"/>
          <w:color w:val="000000"/>
        </w:rPr>
        <w:t>.</w:t>
      </w:r>
    </w:p>
    <w:p w14:paraId="69631E46" w14:textId="0A2E8CC9"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 xml:space="preserve">De lo </w:t>
      </w:r>
      <w:r w:rsidR="00D66184" w:rsidRPr="002D6F59">
        <w:rPr>
          <w:rStyle w:val="s11"/>
          <w:rFonts w:ascii="Century Gothic" w:hAnsi="Century Gothic" w:cs="Arial"/>
          <w:color w:val="000000"/>
        </w:rPr>
        <w:t>anterior puede concluirse que, d</w:t>
      </w:r>
      <w:r w:rsidRPr="002D6F59">
        <w:rPr>
          <w:rStyle w:val="s11"/>
          <w:rFonts w:ascii="Century Gothic" w:hAnsi="Century Gothic" w:cs="Arial"/>
          <w:color w:val="000000"/>
        </w:rPr>
        <w:t>esde el punto de vista constitucional, la salvaguarda del interés superior del menor, es un elemento fundamental dentro de la Concepción del Estado so</w:t>
      </w:r>
      <w:r w:rsidR="00D66184" w:rsidRPr="002D6F59">
        <w:rPr>
          <w:rStyle w:val="s11"/>
          <w:rFonts w:ascii="Century Gothic" w:hAnsi="Century Gothic" w:cs="Arial"/>
          <w:color w:val="000000"/>
        </w:rPr>
        <w:t>cial de derecho previsto en la C</w:t>
      </w:r>
      <w:r w:rsidRPr="002D6F59">
        <w:rPr>
          <w:rStyle w:val="s11"/>
          <w:rFonts w:ascii="Century Gothic" w:hAnsi="Century Gothic" w:cs="Arial"/>
          <w:color w:val="000000"/>
        </w:rPr>
        <w:t xml:space="preserve">onstitución </w:t>
      </w:r>
      <w:r w:rsidR="00D66184" w:rsidRPr="002D6F59">
        <w:rPr>
          <w:rStyle w:val="s11"/>
          <w:rFonts w:ascii="Century Gothic" w:hAnsi="Century Gothic" w:cs="Arial"/>
          <w:color w:val="000000"/>
        </w:rPr>
        <w:t>P</w:t>
      </w:r>
      <w:r w:rsidRPr="002D6F59">
        <w:rPr>
          <w:rStyle w:val="s11"/>
          <w:rFonts w:ascii="Century Gothic" w:hAnsi="Century Gothic" w:cs="Arial"/>
          <w:color w:val="000000"/>
        </w:rPr>
        <w:t xml:space="preserve">olítica colombiana. Por ello implementar acciones y mecanismos que protejan los derechos de los </w:t>
      </w:r>
      <w:r w:rsidR="002442EA" w:rsidRPr="002D6F59">
        <w:rPr>
          <w:rStyle w:val="s11"/>
          <w:rFonts w:ascii="Century Gothic" w:hAnsi="Century Gothic" w:cs="Arial"/>
          <w:color w:val="000000"/>
        </w:rPr>
        <w:t>menores es</w:t>
      </w:r>
      <w:r w:rsidRPr="002D6F59">
        <w:rPr>
          <w:rStyle w:val="s11"/>
          <w:rFonts w:ascii="Century Gothic" w:hAnsi="Century Gothic" w:cs="Arial"/>
          <w:color w:val="000000"/>
        </w:rPr>
        <w:t xml:space="preserve"> un desarrollo del modelo de Estado colombiano </w:t>
      </w:r>
      <w:r w:rsidR="00D66184" w:rsidRPr="002D6F59">
        <w:rPr>
          <w:rStyle w:val="s11"/>
          <w:rFonts w:ascii="Century Gothic" w:hAnsi="Century Gothic" w:cs="Arial"/>
          <w:color w:val="000000"/>
        </w:rPr>
        <w:t xml:space="preserve">e </w:t>
      </w:r>
      <w:r w:rsidRPr="002D6F59">
        <w:rPr>
          <w:rStyle w:val="s11"/>
          <w:rFonts w:ascii="Century Gothic" w:hAnsi="Century Gothic" w:cs="Arial"/>
          <w:color w:val="000000"/>
        </w:rPr>
        <w:t>implica el cumplimiento de las obligaciones de todas las autoridades frente a la protección eficaz de los derechos de los menores y a la sanción efectiva cuando estos son vulnerados.</w:t>
      </w:r>
    </w:p>
    <w:p w14:paraId="1A8D5FF7" w14:textId="77777777" w:rsidR="00BC121A" w:rsidRPr="002D6F59" w:rsidRDefault="00BC121A" w:rsidP="005627A0">
      <w:pPr>
        <w:pStyle w:val="s22"/>
        <w:spacing w:before="0" w:beforeAutospacing="0" w:after="0" w:afterAutospacing="0"/>
        <w:ind w:right="30"/>
        <w:jc w:val="both"/>
        <w:rPr>
          <w:rStyle w:val="s11"/>
          <w:rFonts w:ascii="Century Gothic" w:hAnsi="Century Gothic" w:cs="Arial"/>
          <w:i/>
          <w:color w:val="000000"/>
        </w:rPr>
      </w:pPr>
    </w:p>
    <w:p w14:paraId="75CA1C6C" w14:textId="1BB05BC1" w:rsidR="00BC121A" w:rsidRPr="002D6F59" w:rsidRDefault="00BC121A" w:rsidP="00B17AB2">
      <w:pPr>
        <w:pStyle w:val="Prrafodelista"/>
        <w:numPr>
          <w:ilvl w:val="0"/>
          <w:numId w:val="46"/>
        </w:numPr>
        <w:jc w:val="both"/>
        <w:rPr>
          <w:rFonts w:ascii="Century Gothic" w:hAnsi="Century Gothic" w:cs="Arial"/>
          <w:b/>
        </w:rPr>
      </w:pPr>
      <w:r w:rsidRPr="002D6F59">
        <w:rPr>
          <w:rFonts w:ascii="Century Gothic" w:hAnsi="Century Gothic" w:cs="Arial"/>
          <w:b/>
        </w:rPr>
        <w:t>LAS ACTUALES PENAS PARA LOS DELITOS QUE ATENTAN CONTRA LA LIBERTAD INTEGRIDAD INFORMACIÓN SEXUAL DE LOS NIÑOS, NIÑOS Y ADOLESCENTES NO SON PROPORCIONALES RESPECTO DE LA GRAVEDAD DE ESTAS CONDUCTAS</w:t>
      </w:r>
    </w:p>
    <w:p w14:paraId="65B163D4" w14:textId="6348DE9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Si se examinan los tipos penales relacionados con delitos violentos de orden sexual en contra de los niños</w:t>
      </w:r>
      <w:r w:rsidR="00D66184" w:rsidRPr="002D6F59">
        <w:rPr>
          <w:rFonts w:ascii="Century Gothic" w:hAnsi="Century Gothic" w:cs="Arial"/>
        </w:rPr>
        <w:t>,</w:t>
      </w:r>
      <w:r w:rsidRPr="002D6F59">
        <w:rPr>
          <w:rFonts w:ascii="Century Gothic" w:hAnsi="Century Gothic" w:cs="Arial"/>
        </w:rPr>
        <w:t xml:space="preserve"> niñas y adolescentes, </w:t>
      </w:r>
      <w:r w:rsidR="00D66184" w:rsidRPr="002D6F59">
        <w:rPr>
          <w:rFonts w:ascii="Century Gothic" w:hAnsi="Century Gothic" w:cs="Arial"/>
        </w:rPr>
        <w:t xml:space="preserve">se evidencia que </w:t>
      </w:r>
      <w:r w:rsidRPr="002D6F59">
        <w:rPr>
          <w:rFonts w:ascii="Century Gothic" w:hAnsi="Century Gothic" w:cs="Arial"/>
        </w:rPr>
        <w:t>tiene</w:t>
      </w:r>
      <w:r w:rsidR="00D66184" w:rsidRPr="002D6F59">
        <w:rPr>
          <w:rFonts w:ascii="Century Gothic" w:hAnsi="Century Gothic" w:cs="Arial"/>
        </w:rPr>
        <w:t>n penas comparativamente menos graves que otros delitos que</w:t>
      </w:r>
      <w:r w:rsidRPr="002D6F59">
        <w:rPr>
          <w:rFonts w:ascii="Century Gothic" w:hAnsi="Century Gothic" w:cs="Arial"/>
        </w:rPr>
        <w:t xml:space="preserve"> afectan </w:t>
      </w:r>
      <w:r w:rsidR="00D66184" w:rsidRPr="002D6F59">
        <w:rPr>
          <w:rFonts w:ascii="Century Gothic" w:hAnsi="Century Gothic" w:cs="Arial"/>
        </w:rPr>
        <w:t>bienes jurídicos, y q</w:t>
      </w:r>
      <w:r w:rsidRPr="002D6F59">
        <w:rPr>
          <w:rFonts w:ascii="Century Gothic" w:hAnsi="Century Gothic" w:cs="Arial"/>
        </w:rPr>
        <w:t>ue incluso son menos importantes que la libertad</w:t>
      </w:r>
      <w:r w:rsidR="00D66184" w:rsidRPr="002D6F59">
        <w:rPr>
          <w:rFonts w:ascii="Century Gothic" w:hAnsi="Century Gothic" w:cs="Arial"/>
        </w:rPr>
        <w:t>,</w:t>
      </w:r>
      <w:r w:rsidRPr="002D6F59">
        <w:rPr>
          <w:rFonts w:ascii="Century Gothic" w:hAnsi="Century Gothic" w:cs="Arial"/>
        </w:rPr>
        <w:t xml:space="preserve"> la integridad y la formación sexual de los menores. En efecto, si se examinan algunos de estos delitos se encontrará que, </w:t>
      </w:r>
      <w:r w:rsidR="00D66184" w:rsidRPr="002D6F59">
        <w:rPr>
          <w:rFonts w:ascii="Century Gothic" w:hAnsi="Century Gothic" w:cs="Arial"/>
        </w:rPr>
        <w:t xml:space="preserve">incluso </w:t>
      </w:r>
      <w:r w:rsidRPr="002D6F59">
        <w:rPr>
          <w:rFonts w:ascii="Century Gothic" w:hAnsi="Century Gothic" w:cs="Arial"/>
        </w:rPr>
        <w:t xml:space="preserve">con el agravante </w:t>
      </w:r>
      <w:r w:rsidR="00D66184" w:rsidRPr="002D6F59">
        <w:rPr>
          <w:rFonts w:ascii="Century Gothic" w:hAnsi="Century Gothic" w:cs="Arial"/>
        </w:rPr>
        <w:t>de</w:t>
      </w:r>
      <w:r w:rsidRPr="002D6F59">
        <w:rPr>
          <w:rFonts w:ascii="Century Gothic" w:hAnsi="Century Gothic" w:cs="Arial"/>
        </w:rPr>
        <w:t xml:space="preserve"> trata</w:t>
      </w:r>
      <w:r w:rsidR="00D66184" w:rsidRPr="002D6F59">
        <w:rPr>
          <w:rFonts w:ascii="Century Gothic" w:hAnsi="Century Gothic" w:cs="Arial"/>
        </w:rPr>
        <w:t>rse</w:t>
      </w:r>
      <w:r w:rsidRPr="002D6F59">
        <w:rPr>
          <w:rFonts w:ascii="Century Gothic" w:hAnsi="Century Gothic" w:cs="Arial"/>
        </w:rPr>
        <w:t xml:space="preserve"> de víctimas menores de edad, la pena resulta inferior que otros delitos menos graves. A continuación se presentan algunos ejemplos de las actuales penas aplicables</w:t>
      </w:r>
      <w:r w:rsidRPr="002D6F59">
        <w:rPr>
          <w:rStyle w:val="Refdenotaalpie"/>
          <w:rFonts w:ascii="Century Gothic" w:hAnsi="Century Gothic" w:cs="Arial"/>
        </w:rPr>
        <w:footnoteReference w:id="5"/>
      </w:r>
      <w:r w:rsidRPr="002D6F59">
        <w:rPr>
          <w:rFonts w:ascii="Century Gothic" w:hAnsi="Century Gothic" w:cs="Arial"/>
        </w:rPr>
        <w:t>:</w:t>
      </w:r>
    </w:p>
    <w:p w14:paraId="614F9AF3" w14:textId="77777777" w:rsidR="00BC121A" w:rsidRPr="002D6F59" w:rsidRDefault="00BC121A" w:rsidP="00A4664D">
      <w:pPr>
        <w:jc w:val="both"/>
        <w:rPr>
          <w:rFonts w:ascii="Century Gothic" w:hAnsi="Century Gothic" w:cs="Arial"/>
          <w:b/>
        </w:rPr>
      </w:pPr>
    </w:p>
    <w:p w14:paraId="45F83B70" w14:textId="21E648ED" w:rsidR="00BC121A" w:rsidRPr="002D6F59" w:rsidRDefault="00BC121A" w:rsidP="00B17AB2">
      <w:pPr>
        <w:pStyle w:val="Prrafodelista"/>
        <w:numPr>
          <w:ilvl w:val="0"/>
          <w:numId w:val="38"/>
        </w:numPr>
        <w:spacing w:after="0"/>
        <w:jc w:val="both"/>
        <w:rPr>
          <w:rFonts w:ascii="Century Gothic" w:hAnsi="Century Gothic" w:cs="Arial"/>
          <w:sz w:val="24"/>
          <w:szCs w:val="24"/>
        </w:rPr>
      </w:pPr>
      <w:r w:rsidRPr="002D6F59">
        <w:rPr>
          <w:rFonts w:ascii="Century Gothic" w:hAnsi="Century Gothic" w:cs="Arial"/>
          <w:b/>
          <w:sz w:val="24"/>
          <w:szCs w:val="24"/>
        </w:rPr>
        <w:t>Acceso carnal violento (art. 205 CP):</w:t>
      </w:r>
      <w:r w:rsidRPr="002D6F59">
        <w:rPr>
          <w:rFonts w:ascii="Century Gothic" w:hAnsi="Century Gothic" w:cs="Arial"/>
          <w:sz w:val="24"/>
          <w:szCs w:val="24"/>
        </w:rPr>
        <w:t xml:space="preserve"> Esta conducta tiene una pena de doce (12) años </w:t>
      </w:r>
      <w:r w:rsidR="00D66184" w:rsidRPr="002D6F59">
        <w:rPr>
          <w:rFonts w:ascii="Century Gothic" w:hAnsi="Century Gothic" w:cs="Arial"/>
          <w:sz w:val="24"/>
          <w:szCs w:val="24"/>
        </w:rPr>
        <w:t>a veinte (20) años de prisión. C</w:t>
      </w:r>
      <w:r w:rsidRPr="002D6F59">
        <w:rPr>
          <w:rFonts w:ascii="Century Gothic" w:hAnsi="Century Gothic" w:cs="Arial"/>
          <w:sz w:val="24"/>
          <w:szCs w:val="24"/>
        </w:rPr>
        <w:t>uando este delito es agravado (art. 211 CP), la pena aumentará de una tercera parte a la mitad, quedando de dieciséis (16) años a treinta (30) años de prisión.</w:t>
      </w:r>
    </w:p>
    <w:p w14:paraId="5F0D0563" w14:textId="77777777" w:rsidR="00BC121A" w:rsidRPr="002D6F59" w:rsidRDefault="00BC121A" w:rsidP="00A4664D">
      <w:pPr>
        <w:pStyle w:val="Prrafodelista"/>
        <w:spacing w:line="240" w:lineRule="auto"/>
        <w:jc w:val="both"/>
        <w:rPr>
          <w:rFonts w:ascii="Century Gothic" w:hAnsi="Century Gothic" w:cs="Arial"/>
          <w:sz w:val="24"/>
          <w:szCs w:val="24"/>
        </w:rPr>
      </w:pPr>
    </w:p>
    <w:p w14:paraId="11948EAB" w14:textId="77777777" w:rsidR="00BC121A" w:rsidRPr="002D6F59" w:rsidRDefault="00BC121A" w:rsidP="00B17AB2">
      <w:pPr>
        <w:pStyle w:val="Prrafodelista"/>
        <w:numPr>
          <w:ilvl w:val="0"/>
          <w:numId w:val="38"/>
        </w:numPr>
        <w:spacing w:after="0"/>
        <w:jc w:val="both"/>
        <w:rPr>
          <w:rFonts w:ascii="Century Gothic" w:hAnsi="Century Gothic" w:cs="Arial"/>
          <w:sz w:val="24"/>
          <w:szCs w:val="24"/>
        </w:rPr>
      </w:pPr>
      <w:r w:rsidRPr="002D6F59">
        <w:rPr>
          <w:rFonts w:ascii="Century Gothic" w:hAnsi="Century Gothic" w:cs="Arial"/>
          <w:b/>
          <w:sz w:val="24"/>
          <w:szCs w:val="24"/>
        </w:rPr>
        <w:t>Acceso carnal o acto sexual en persona puesta en incapacidad de resistir (art. 207</w:t>
      </w:r>
      <w:r w:rsidRPr="002D6F59">
        <w:rPr>
          <w:rFonts w:ascii="Century Gothic" w:hAnsi="Century Gothic" w:cs="Arial"/>
          <w:b/>
          <w:bCs/>
          <w:smallCaps/>
          <w:sz w:val="24"/>
          <w:szCs w:val="24"/>
        </w:rPr>
        <w:t xml:space="preserve"> CP</w:t>
      </w:r>
      <w:r w:rsidRPr="002D6F59">
        <w:rPr>
          <w:rFonts w:ascii="Century Gothic" w:hAnsi="Century Gothic" w:cs="Arial"/>
          <w:b/>
          <w:sz w:val="24"/>
          <w:szCs w:val="24"/>
        </w:rPr>
        <w:t xml:space="preserve">): </w:t>
      </w:r>
      <w:r w:rsidRPr="002D6F59">
        <w:rPr>
          <w:rFonts w:ascii="Century Gothic" w:hAnsi="Century Gothic" w:cs="Arial"/>
          <w:sz w:val="24"/>
          <w:szCs w:val="24"/>
        </w:rPr>
        <w:t xml:space="preserve">La pena de este delito es de doce (12) años a veinte (20) años de prisión cuando es acceso carnal y de (8) años a dieciséis (16) años cuando es acto sexual. Si la conducta es agravada (art. 211 </w:t>
      </w:r>
      <w:r w:rsidRPr="002D6F59">
        <w:rPr>
          <w:rFonts w:ascii="Century Gothic" w:hAnsi="Century Gothic" w:cs="Arial"/>
          <w:sz w:val="24"/>
          <w:szCs w:val="24"/>
        </w:rPr>
        <w:lastRenderedPageBreak/>
        <w:t>CP), la pena aumentará de una tercera parte a la mitad: si es acceso carnal la pena es de dieciséis (16) años a treinta (30) años de prisión. Si se trata de un acto sexual la pena es de diez (10) años y ocho (8) meses a veinticuatro (24) años de prisión.</w:t>
      </w:r>
    </w:p>
    <w:p w14:paraId="0B31F896" w14:textId="77777777" w:rsidR="00BC121A" w:rsidRPr="002D6F59" w:rsidRDefault="00BC121A" w:rsidP="00A4664D">
      <w:pPr>
        <w:ind w:left="360"/>
        <w:jc w:val="both"/>
        <w:rPr>
          <w:rFonts w:ascii="Century Gothic" w:hAnsi="Century Gothic" w:cs="Arial"/>
        </w:rPr>
      </w:pPr>
    </w:p>
    <w:p w14:paraId="171A4A64" w14:textId="6CA79951" w:rsidR="00BC121A" w:rsidRPr="002D6F59" w:rsidRDefault="00BC121A" w:rsidP="00B17AB2">
      <w:pPr>
        <w:numPr>
          <w:ilvl w:val="0"/>
          <w:numId w:val="38"/>
        </w:numPr>
        <w:spacing w:line="276" w:lineRule="auto"/>
        <w:jc w:val="both"/>
        <w:rPr>
          <w:rFonts w:ascii="Century Gothic" w:hAnsi="Century Gothic" w:cs="Arial"/>
        </w:rPr>
      </w:pPr>
      <w:r w:rsidRPr="002D6F59">
        <w:rPr>
          <w:rFonts w:ascii="Century Gothic" w:eastAsia="Georgia" w:hAnsi="Century Gothic" w:cs="Arial"/>
          <w:b/>
          <w:bCs/>
          <w:lang w:val="es-ES"/>
        </w:rPr>
        <w:t>Acceso carnal violento en persona protegida (art. 138 CP):</w:t>
      </w:r>
      <w:r w:rsidR="00D66184" w:rsidRPr="002D6F59">
        <w:rPr>
          <w:rFonts w:ascii="Century Gothic" w:hAnsi="Century Gothic" w:cs="Arial"/>
        </w:rPr>
        <w:t xml:space="preserve"> L</w:t>
      </w:r>
      <w:r w:rsidRPr="002D6F59">
        <w:rPr>
          <w:rFonts w:ascii="Century Gothic" w:hAnsi="Century Gothic" w:cs="Arial"/>
        </w:rPr>
        <w:t>a pena establecida es de trece (13) años y cuatro (4) meses a veintisiete (27) años.  Si se trata de una conducta agravada, (art. 211 CP), la pena aumentará de una tercera parte a la mitad, es decir, de diecisiete 17 años y once (11) meses a cuarenta (40) años y seis (6) meses de prisión.</w:t>
      </w:r>
    </w:p>
    <w:p w14:paraId="66A4A522" w14:textId="77777777" w:rsidR="00BC121A" w:rsidRPr="002D6F59" w:rsidRDefault="00BC121A" w:rsidP="00A4664D">
      <w:pPr>
        <w:ind w:left="360"/>
        <w:jc w:val="both"/>
        <w:rPr>
          <w:rFonts w:ascii="Century Gothic" w:hAnsi="Century Gothic" w:cs="Arial"/>
        </w:rPr>
      </w:pPr>
    </w:p>
    <w:p w14:paraId="555FFC24" w14:textId="06EE803B" w:rsidR="00BC121A" w:rsidRPr="002D6F59" w:rsidRDefault="00BC121A" w:rsidP="00B17AB2">
      <w:pPr>
        <w:numPr>
          <w:ilvl w:val="0"/>
          <w:numId w:val="38"/>
        </w:numPr>
        <w:spacing w:line="276" w:lineRule="auto"/>
        <w:jc w:val="both"/>
        <w:rPr>
          <w:rFonts w:ascii="Century Gothic" w:hAnsi="Century Gothic" w:cs="Arial"/>
        </w:rPr>
      </w:pPr>
      <w:r w:rsidRPr="002D6F59">
        <w:rPr>
          <w:rFonts w:ascii="Century Gothic" w:eastAsia="Georgia" w:hAnsi="Century Gothic" w:cs="Arial"/>
          <w:b/>
          <w:bCs/>
          <w:lang w:val="es-ES"/>
        </w:rPr>
        <w:t>Acceso carnal violento en persona protegida menor de catorce años (art 138a CP):</w:t>
      </w:r>
      <w:r w:rsidR="00B77F9D" w:rsidRPr="002D6F59">
        <w:rPr>
          <w:rFonts w:ascii="Century Gothic" w:eastAsia="Georgia" w:hAnsi="Century Gothic" w:cs="Arial"/>
          <w:lang w:val="es-ES"/>
        </w:rPr>
        <w:t xml:space="preserve"> S</w:t>
      </w:r>
      <w:r w:rsidRPr="002D6F59">
        <w:rPr>
          <w:rFonts w:ascii="Century Gothic" w:eastAsia="Georgia" w:hAnsi="Century Gothic" w:cs="Arial"/>
          <w:lang w:val="es-ES"/>
        </w:rPr>
        <w:t>u pena es de trece años (13) y cuatro (4) meses a veintisiete (27) años.</w:t>
      </w:r>
    </w:p>
    <w:p w14:paraId="5E58D568" w14:textId="77777777" w:rsidR="00BC121A" w:rsidRPr="002D6F59" w:rsidRDefault="00BC121A" w:rsidP="00B17AB2">
      <w:pPr>
        <w:spacing w:line="276" w:lineRule="auto"/>
        <w:jc w:val="both"/>
        <w:rPr>
          <w:rFonts w:ascii="Century Gothic" w:hAnsi="Century Gothic" w:cs="Arial"/>
        </w:rPr>
      </w:pPr>
    </w:p>
    <w:p w14:paraId="10FFD8F1" w14:textId="77777777" w:rsidR="00BC121A" w:rsidRPr="002D6F59" w:rsidRDefault="00BC121A" w:rsidP="00B17AB2">
      <w:pPr>
        <w:numPr>
          <w:ilvl w:val="0"/>
          <w:numId w:val="38"/>
        </w:numPr>
        <w:spacing w:line="276" w:lineRule="auto"/>
        <w:jc w:val="both"/>
        <w:rPr>
          <w:rFonts w:ascii="Century Gothic" w:eastAsia="Georgia" w:hAnsi="Century Gothic" w:cs="Arial"/>
          <w:b/>
          <w:bCs/>
          <w:lang w:val="es-ES"/>
        </w:rPr>
      </w:pPr>
      <w:r w:rsidRPr="002D6F59">
        <w:rPr>
          <w:rFonts w:ascii="Century Gothic" w:eastAsia="Georgia" w:hAnsi="Century Gothic" w:cs="Arial"/>
          <w:b/>
          <w:bCs/>
          <w:lang w:val="es-ES"/>
        </w:rPr>
        <w:t xml:space="preserve">Actos sexuales violentos en persona protegida (art. 139 CP): </w:t>
      </w:r>
      <w:r w:rsidRPr="002D6F59">
        <w:rPr>
          <w:rFonts w:ascii="Century Gothic" w:eastAsia="Georgia" w:hAnsi="Century Gothic" w:cs="Arial"/>
          <w:bCs/>
          <w:lang w:val="es-ES"/>
        </w:rPr>
        <w:t xml:space="preserve">La establecida es de cinco (5) años y cuatro (4) meses a trece (13) años y seis (6) meses de prisión. Cuando el delito es </w:t>
      </w:r>
      <w:r w:rsidRPr="002D6F59">
        <w:rPr>
          <w:rFonts w:ascii="Century Gothic" w:hAnsi="Century Gothic" w:cs="Arial"/>
        </w:rPr>
        <w:t>agravado (art. 211 CP), la pena aumentará de una tercera parte a la mitad, siendo de siete 7 años y dos (2) meses a veintisiete (27) años de prisión.</w:t>
      </w:r>
    </w:p>
    <w:p w14:paraId="42324714" w14:textId="77777777" w:rsidR="00BC121A" w:rsidRPr="002D6F59" w:rsidRDefault="00BC121A" w:rsidP="00A4664D">
      <w:pPr>
        <w:pStyle w:val="Prrafodelista"/>
        <w:spacing w:line="240" w:lineRule="auto"/>
        <w:jc w:val="both"/>
        <w:rPr>
          <w:rFonts w:ascii="Century Gothic" w:hAnsi="Century Gothic" w:cs="Arial"/>
          <w:sz w:val="24"/>
          <w:szCs w:val="24"/>
        </w:rPr>
      </w:pPr>
    </w:p>
    <w:p w14:paraId="1DDDA694" w14:textId="560EBA9A" w:rsidR="00BC121A" w:rsidRPr="002D6F59" w:rsidRDefault="00BC121A" w:rsidP="00B17AB2">
      <w:pPr>
        <w:pStyle w:val="Prrafodelista"/>
        <w:numPr>
          <w:ilvl w:val="0"/>
          <w:numId w:val="38"/>
        </w:numPr>
        <w:spacing w:after="0"/>
        <w:jc w:val="both"/>
        <w:rPr>
          <w:rFonts w:ascii="Century Gothic" w:eastAsia="Georgia" w:hAnsi="Century Gothic" w:cs="Arial"/>
          <w:b/>
          <w:bCs/>
          <w:sz w:val="24"/>
          <w:szCs w:val="24"/>
          <w:lang w:val="es-ES"/>
        </w:rPr>
      </w:pPr>
      <w:r w:rsidRPr="002D6F59">
        <w:rPr>
          <w:rFonts w:ascii="Century Gothic" w:eastAsia="Georgia" w:hAnsi="Century Gothic" w:cs="Arial"/>
          <w:b/>
          <w:bCs/>
          <w:sz w:val="24"/>
          <w:szCs w:val="24"/>
          <w:lang w:val="es-ES"/>
        </w:rPr>
        <w:t xml:space="preserve">Prostitución forzada en persona protegida (art. 140 CP): </w:t>
      </w:r>
      <w:r w:rsidR="00B77F9D" w:rsidRPr="002D6F59">
        <w:rPr>
          <w:rFonts w:ascii="Century Gothic" w:eastAsia="Georgia" w:hAnsi="Century Gothic" w:cs="Arial"/>
          <w:bCs/>
          <w:sz w:val="24"/>
          <w:szCs w:val="24"/>
          <w:lang w:val="es-ES"/>
        </w:rPr>
        <w:t>E</w:t>
      </w:r>
      <w:r w:rsidRPr="002D6F59">
        <w:rPr>
          <w:rFonts w:ascii="Century Gothic" w:eastAsia="Georgia" w:hAnsi="Century Gothic" w:cs="Arial"/>
          <w:bCs/>
          <w:sz w:val="24"/>
          <w:szCs w:val="24"/>
          <w:lang w:val="es-ES"/>
        </w:rPr>
        <w:t>ste delito tiene una pena de trece (13) años y cuatro (4) meses a veintisiete (27) años de prisión.</w:t>
      </w:r>
    </w:p>
    <w:p w14:paraId="5B4C4D36" w14:textId="77777777" w:rsidR="00BC121A" w:rsidRPr="002D6F59" w:rsidRDefault="00BC121A" w:rsidP="00A4664D">
      <w:pPr>
        <w:jc w:val="both"/>
        <w:rPr>
          <w:rFonts w:ascii="Century Gothic" w:hAnsi="Century Gothic" w:cs="Arial"/>
        </w:rPr>
      </w:pPr>
    </w:p>
    <w:p w14:paraId="193AFB78" w14:textId="67D7775E" w:rsidR="00BC121A" w:rsidRPr="002D6F59" w:rsidRDefault="00BC121A" w:rsidP="00B17AB2">
      <w:pPr>
        <w:pStyle w:val="Prrafodelista"/>
        <w:numPr>
          <w:ilvl w:val="0"/>
          <w:numId w:val="39"/>
        </w:numPr>
        <w:spacing w:after="0"/>
        <w:jc w:val="both"/>
        <w:rPr>
          <w:rFonts w:ascii="Century Gothic" w:hAnsi="Century Gothic" w:cs="Arial"/>
          <w:sz w:val="24"/>
          <w:szCs w:val="24"/>
        </w:rPr>
      </w:pPr>
      <w:r w:rsidRPr="002D6F59">
        <w:rPr>
          <w:rFonts w:ascii="Century Gothic" w:hAnsi="Century Gothic" w:cs="Arial"/>
          <w:b/>
          <w:bCs/>
          <w:sz w:val="24"/>
          <w:szCs w:val="24"/>
        </w:rPr>
        <w:t>Proxenetismo con menor de edad (art. 213ª CP)</w:t>
      </w:r>
      <w:r w:rsidR="00B77F9D" w:rsidRPr="002D6F59">
        <w:rPr>
          <w:rFonts w:ascii="Century Gothic" w:hAnsi="Century Gothic" w:cs="Arial"/>
          <w:b/>
          <w:bCs/>
          <w:sz w:val="24"/>
          <w:szCs w:val="24"/>
        </w:rPr>
        <w:t>:</w:t>
      </w:r>
      <w:r w:rsidR="00B77F9D" w:rsidRPr="002D6F59">
        <w:rPr>
          <w:rFonts w:ascii="Century Gothic" w:hAnsi="Century Gothic" w:cs="Arial"/>
          <w:b/>
          <w:bCs/>
          <w:smallCaps/>
          <w:sz w:val="24"/>
          <w:szCs w:val="24"/>
        </w:rPr>
        <w:t xml:space="preserve"> </w:t>
      </w:r>
      <w:r w:rsidR="00B77F9D" w:rsidRPr="002D6F59">
        <w:rPr>
          <w:rFonts w:ascii="Century Gothic" w:hAnsi="Century Gothic" w:cs="Arial"/>
          <w:sz w:val="24"/>
          <w:szCs w:val="24"/>
        </w:rPr>
        <w:t>La</w:t>
      </w:r>
      <w:r w:rsidRPr="002D6F59">
        <w:rPr>
          <w:rFonts w:ascii="Century Gothic" w:hAnsi="Century Gothic" w:cs="Arial"/>
          <w:sz w:val="24"/>
          <w:szCs w:val="24"/>
        </w:rPr>
        <w:t xml:space="preserve"> pena consagrada para esta conducta es de catorce (14) años a veinticinco (25) años de prisión y multa de sesenta y siente (67) a setecientos cincuenta (750) salarios mínimos legales mensuales vigentes. Si el hecho es agravado (art. 216 CP), esto es, cuando se realizare sobre persona menor de catorce (14) años, la pena aumentará de una terce</w:t>
      </w:r>
      <w:r w:rsidR="00B77F9D" w:rsidRPr="002D6F59">
        <w:rPr>
          <w:rFonts w:ascii="Century Gothic" w:hAnsi="Century Gothic" w:cs="Arial"/>
          <w:sz w:val="24"/>
          <w:szCs w:val="24"/>
        </w:rPr>
        <w:t>ra parte a la mitad, quedando de</w:t>
      </w:r>
      <w:r w:rsidRPr="002D6F59">
        <w:rPr>
          <w:rFonts w:ascii="Century Gothic" w:hAnsi="Century Gothic" w:cs="Arial"/>
          <w:sz w:val="24"/>
          <w:szCs w:val="24"/>
        </w:rPr>
        <w:t xml:space="preserve"> 18 años y 8 meses a 37 años y 6 meses.</w:t>
      </w:r>
    </w:p>
    <w:p w14:paraId="06CDDED3" w14:textId="77777777" w:rsidR="00BC121A" w:rsidRPr="002D6F59" w:rsidRDefault="00BC121A" w:rsidP="00A4664D">
      <w:pPr>
        <w:pStyle w:val="Prrafodelista"/>
        <w:spacing w:line="240" w:lineRule="auto"/>
        <w:jc w:val="both"/>
        <w:rPr>
          <w:rFonts w:ascii="Century Gothic" w:hAnsi="Century Gothic" w:cs="Arial"/>
          <w:sz w:val="24"/>
          <w:szCs w:val="24"/>
        </w:rPr>
      </w:pPr>
    </w:p>
    <w:p w14:paraId="22E9E8EB" w14:textId="569E4485" w:rsidR="00BC121A" w:rsidRPr="002D6F59" w:rsidRDefault="00BC121A" w:rsidP="00B17AB2">
      <w:pPr>
        <w:pStyle w:val="Prrafodelista"/>
        <w:numPr>
          <w:ilvl w:val="0"/>
          <w:numId w:val="39"/>
        </w:numPr>
        <w:spacing w:after="0"/>
        <w:jc w:val="both"/>
        <w:rPr>
          <w:rFonts w:ascii="Century Gothic" w:hAnsi="Century Gothic" w:cs="Arial"/>
          <w:sz w:val="24"/>
          <w:szCs w:val="24"/>
        </w:rPr>
      </w:pPr>
      <w:r w:rsidRPr="002D6F59">
        <w:rPr>
          <w:rFonts w:ascii="Century Gothic" w:hAnsi="Century Gothic" w:cs="Arial"/>
          <w:b/>
          <w:bCs/>
          <w:sz w:val="24"/>
          <w:szCs w:val="24"/>
        </w:rPr>
        <w:t xml:space="preserve">Constreñimiento a la prostitución </w:t>
      </w:r>
      <w:r w:rsidRPr="002D6F59">
        <w:rPr>
          <w:rFonts w:ascii="Century Gothic" w:hAnsi="Century Gothic" w:cs="Arial"/>
          <w:b/>
          <w:bCs/>
          <w:smallCaps/>
          <w:sz w:val="24"/>
          <w:szCs w:val="24"/>
        </w:rPr>
        <w:t xml:space="preserve">(art. 214 </w:t>
      </w:r>
      <w:r w:rsidR="00B77F9D" w:rsidRPr="002D6F59">
        <w:rPr>
          <w:rFonts w:ascii="Century Gothic" w:hAnsi="Century Gothic" w:cs="Arial"/>
          <w:b/>
          <w:bCs/>
          <w:smallCaps/>
          <w:sz w:val="24"/>
          <w:szCs w:val="24"/>
        </w:rPr>
        <w:t>CP</w:t>
      </w:r>
      <w:r w:rsidRPr="002D6F59">
        <w:rPr>
          <w:rFonts w:ascii="Century Gothic" w:hAnsi="Century Gothic" w:cs="Arial"/>
          <w:b/>
          <w:bCs/>
          <w:smallCaps/>
          <w:sz w:val="24"/>
          <w:szCs w:val="24"/>
        </w:rPr>
        <w:t>):</w:t>
      </w:r>
      <w:r w:rsidRPr="002D6F59">
        <w:rPr>
          <w:rFonts w:ascii="Century Gothic" w:hAnsi="Century Gothic" w:cs="Arial"/>
          <w:sz w:val="24"/>
          <w:szCs w:val="24"/>
        </w:rPr>
        <w:t xml:space="preserve"> Su pena es de nueve (9) años a trece (13) años de prisión. Si se aplica el agravante (art. </w:t>
      </w:r>
      <w:r w:rsidR="00B77F9D" w:rsidRPr="002D6F59">
        <w:rPr>
          <w:rFonts w:ascii="Century Gothic" w:hAnsi="Century Gothic" w:cs="Arial"/>
          <w:sz w:val="24"/>
          <w:szCs w:val="24"/>
        </w:rPr>
        <w:t>216 CP</w:t>
      </w:r>
      <w:r w:rsidRPr="002D6F59">
        <w:rPr>
          <w:rFonts w:ascii="Century Gothic" w:hAnsi="Century Gothic" w:cs="Arial"/>
          <w:sz w:val="24"/>
          <w:szCs w:val="24"/>
        </w:rPr>
        <w:t>) cuando se realizare sobre persona menor de catorce (14) años, la pena aumentará de una tercera</w:t>
      </w:r>
      <w:r w:rsidR="00B77F9D" w:rsidRPr="002D6F59">
        <w:rPr>
          <w:rFonts w:ascii="Century Gothic" w:hAnsi="Century Gothic" w:cs="Arial"/>
          <w:sz w:val="24"/>
          <w:szCs w:val="24"/>
        </w:rPr>
        <w:t xml:space="preserve"> parte a la mitad, siendo de </w:t>
      </w:r>
      <w:r w:rsidRPr="002D6F59">
        <w:rPr>
          <w:rFonts w:ascii="Century Gothic" w:hAnsi="Century Gothic" w:cs="Arial"/>
          <w:sz w:val="24"/>
          <w:szCs w:val="24"/>
        </w:rPr>
        <w:t xml:space="preserve">12 años a 19 años </w:t>
      </w:r>
      <w:r w:rsidRPr="002D6F59">
        <w:rPr>
          <w:rFonts w:ascii="Century Gothic" w:hAnsi="Century Gothic" w:cs="Arial"/>
          <w:sz w:val="24"/>
          <w:szCs w:val="24"/>
        </w:rPr>
        <w:lastRenderedPageBreak/>
        <w:t>y 6 meses y una multa de ochenta y ocho (88) a mil doscientos veinticinco (1.125) salarios mínimos legales mensuales vigentes.</w:t>
      </w:r>
    </w:p>
    <w:p w14:paraId="029955EB" w14:textId="77777777" w:rsidR="00BC121A" w:rsidRPr="002D6F59" w:rsidRDefault="00BC121A" w:rsidP="00A4664D">
      <w:pPr>
        <w:ind w:left="360"/>
        <w:jc w:val="both"/>
        <w:rPr>
          <w:rFonts w:ascii="Century Gothic" w:hAnsi="Century Gothic" w:cs="Arial"/>
        </w:rPr>
      </w:pPr>
    </w:p>
    <w:p w14:paraId="4F81C3FB" w14:textId="43D5B4BD" w:rsidR="00BC121A" w:rsidRPr="002D6F59" w:rsidRDefault="00BC121A" w:rsidP="00B17AB2">
      <w:pPr>
        <w:spacing w:line="276" w:lineRule="auto"/>
        <w:jc w:val="both"/>
        <w:rPr>
          <w:rFonts w:ascii="Century Gothic" w:eastAsia="Georgia" w:hAnsi="Century Gothic" w:cs="Arial"/>
          <w:bCs/>
          <w:lang w:val="es-ES"/>
        </w:rPr>
      </w:pPr>
      <w:r w:rsidRPr="002D6F59">
        <w:rPr>
          <w:rFonts w:ascii="Century Gothic" w:eastAsia="Georgia" w:hAnsi="Century Gothic" w:cs="Arial"/>
          <w:bCs/>
          <w:lang w:val="es-ES"/>
        </w:rPr>
        <w:t xml:space="preserve">Teniendo en cuenta lo anterior, tenemos </w:t>
      </w:r>
      <w:r w:rsidR="00B77F9D" w:rsidRPr="002D6F59">
        <w:rPr>
          <w:rFonts w:ascii="Century Gothic" w:eastAsia="Georgia" w:hAnsi="Century Gothic" w:cs="Arial"/>
          <w:bCs/>
          <w:lang w:val="es-ES"/>
        </w:rPr>
        <w:t>que delitos</w:t>
      </w:r>
      <w:r w:rsidRPr="002D6F59">
        <w:rPr>
          <w:rFonts w:ascii="Century Gothic" w:eastAsia="Georgia" w:hAnsi="Century Gothic" w:cs="Arial"/>
          <w:bCs/>
          <w:lang w:val="es-ES"/>
        </w:rPr>
        <w:t xml:space="preserve"> c</w:t>
      </w:r>
      <w:r w:rsidR="00B77F9D" w:rsidRPr="002D6F59">
        <w:rPr>
          <w:rFonts w:ascii="Century Gothic" w:eastAsia="Georgia" w:hAnsi="Century Gothic" w:cs="Arial"/>
          <w:bCs/>
          <w:lang w:val="es-ES"/>
        </w:rPr>
        <w:t>omo el acceso carnal violento, i</w:t>
      </w:r>
      <w:r w:rsidRPr="002D6F59">
        <w:rPr>
          <w:rFonts w:ascii="Century Gothic" w:eastAsia="Georgia" w:hAnsi="Century Gothic" w:cs="Arial"/>
          <w:bCs/>
          <w:lang w:val="es-ES"/>
        </w:rPr>
        <w:t xml:space="preserve">ncluso cuando se realiza en contra de un menor, tiene una pena máxima de 30 años, del misma forma el acto sexual o el acceso carnal con persona incapaz de resistir, agravado por ser la victima un menor de edad tiene una pena </w:t>
      </w:r>
      <w:r w:rsidR="002442EA" w:rsidRPr="002D6F59">
        <w:rPr>
          <w:rFonts w:ascii="Century Gothic" w:eastAsia="Georgia" w:hAnsi="Century Gothic" w:cs="Arial"/>
          <w:bCs/>
          <w:lang w:val="es-ES"/>
        </w:rPr>
        <w:t>de</w:t>
      </w:r>
      <w:r w:rsidRPr="002D6F59">
        <w:rPr>
          <w:rFonts w:ascii="Century Gothic" w:eastAsia="Georgia" w:hAnsi="Century Gothic" w:cs="Arial"/>
          <w:bCs/>
          <w:lang w:val="es-ES"/>
        </w:rPr>
        <w:t xml:space="preserve"> 27 años de prisión,  el proxenetismo agravado cuando se trata de un menor de 14 años tiene, a su vez, una pena de 37 años. De igual forma, los delitos sexuales contra menores en el marco del conflicto armado, esto es, cuando atentan contra bienes jurídicos protegidos por el derecho internacional humanitario, la pena máxima es de 27 años.</w:t>
      </w:r>
    </w:p>
    <w:p w14:paraId="40484316" w14:textId="77777777" w:rsidR="00BC121A" w:rsidRPr="002D6F59" w:rsidRDefault="00BC121A" w:rsidP="00A4664D">
      <w:pPr>
        <w:jc w:val="both"/>
        <w:rPr>
          <w:rFonts w:ascii="Century Gothic" w:eastAsia="Georgia" w:hAnsi="Century Gothic" w:cs="Arial"/>
          <w:bCs/>
          <w:lang w:val="es-ES"/>
        </w:rPr>
      </w:pPr>
    </w:p>
    <w:p w14:paraId="2F4277BD" w14:textId="3A82EC61" w:rsidR="00BC121A" w:rsidRPr="002D6F59" w:rsidRDefault="00BC121A" w:rsidP="00B17AB2">
      <w:pPr>
        <w:spacing w:line="276" w:lineRule="auto"/>
        <w:jc w:val="both"/>
        <w:rPr>
          <w:rFonts w:ascii="Century Gothic" w:eastAsia="Georgia" w:hAnsi="Century Gothic" w:cs="Arial"/>
          <w:bCs/>
          <w:lang w:val="es-ES"/>
        </w:rPr>
      </w:pPr>
      <w:r w:rsidRPr="002D6F59">
        <w:rPr>
          <w:rFonts w:ascii="Century Gothic" w:eastAsia="Georgia" w:hAnsi="Century Gothic" w:cs="Arial"/>
          <w:bCs/>
          <w:lang w:val="es-ES"/>
        </w:rPr>
        <w:t>Si bien estos delitos tienen penas que p</w:t>
      </w:r>
      <w:r w:rsidR="00B77F9D" w:rsidRPr="002D6F59">
        <w:rPr>
          <w:rFonts w:ascii="Century Gothic" w:eastAsia="Georgia" w:hAnsi="Century Gothic" w:cs="Arial"/>
          <w:bCs/>
          <w:lang w:val="es-ES"/>
        </w:rPr>
        <w:t>odrían ser consideradas altas, s</w:t>
      </w:r>
      <w:r w:rsidRPr="002D6F59">
        <w:rPr>
          <w:rFonts w:ascii="Century Gothic" w:eastAsia="Georgia" w:hAnsi="Century Gothic" w:cs="Arial"/>
          <w:bCs/>
          <w:lang w:val="es-ES"/>
        </w:rPr>
        <w:t>i se examinan otros tipos penales que afectan bienes jurídicos de menor e</w:t>
      </w:r>
      <w:r w:rsidR="00B77F9D" w:rsidRPr="002D6F59">
        <w:rPr>
          <w:rFonts w:ascii="Century Gothic" w:eastAsia="Georgia" w:hAnsi="Century Gothic" w:cs="Arial"/>
          <w:bCs/>
          <w:lang w:val="es-ES"/>
        </w:rPr>
        <w:t>ntidad, se puede observar que, c</w:t>
      </w:r>
      <w:r w:rsidRPr="002D6F59">
        <w:rPr>
          <w:rFonts w:ascii="Century Gothic" w:eastAsia="Georgia" w:hAnsi="Century Gothic" w:cs="Arial"/>
          <w:bCs/>
          <w:lang w:val="es-ES"/>
        </w:rPr>
        <w:t xml:space="preserve">omparativamente, los delitos </w:t>
      </w:r>
      <w:r w:rsidR="00B77F9D" w:rsidRPr="002D6F59">
        <w:rPr>
          <w:rFonts w:ascii="Century Gothic" w:eastAsia="Georgia" w:hAnsi="Century Gothic" w:cs="Arial"/>
          <w:bCs/>
          <w:lang w:val="es-ES"/>
        </w:rPr>
        <w:t>sexuales contra menores tienen p</w:t>
      </w:r>
      <w:r w:rsidRPr="002D6F59">
        <w:rPr>
          <w:rFonts w:ascii="Century Gothic" w:eastAsia="Georgia" w:hAnsi="Century Gothic" w:cs="Arial"/>
          <w:bCs/>
          <w:lang w:val="es-ES"/>
        </w:rPr>
        <w:t xml:space="preserve">enas incluso menores que, por ejemplo, algunos delitos contra el patrimonio económico. En efecto, un hurto agravado (art. 240 CP) y calificado (art. 241 CP), cuando la cosa hurtada supera 100 salarios mínimos legales mensuales vigentes (art. art. 267 CP), tiene una pena máxima de 36 años y 8 meses, es decir, una pena considerablemente mayor al acceso carnal violento y a otros delitos antes mencionados y casi igual que los delitos sexuales contra menores en el marco del conflicto armado. Otro ejemplo de esta desproporción es el delito de tráfico, fabricación o porte de estupefacientes (art. 376 CP. Inc. 1º) tiene una pena máxima de 30 años, esto es superior a varias de las conductas mencionadas. La misma situación sucede con el terrorismo agravado (art. 344 CP). </w:t>
      </w:r>
    </w:p>
    <w:p w14:paraId="23F851D9" w14:textId="77777777" w:rsidR="00BC121A" w:rsidRPr="002D6F59" w:rsidRDefault="00BC121A" w:rsidP="00A4664D">
      <w:pPr>
        <w:jc w:val="both"/>
        <w:rPr>
          <w:rFonts w:ascii="Century Gothic" w:eastAsia="Georgia" w:hAnsi="Century Gothic" w:cs="Arial"/>
          <w:bCs/>
          <w:lang w:val="es-ES"/>
        </w:rPr>
      </w:pPr>
    </w:p>
    <w:p w14:paraId="3349C5F9" w14:textId="074F3A66" w:rsidR="00BC121A" w:rsidRPr="002D6F59" w:rsidRDefault="00BC121A" w:rsidP="00B17AB2">
      <w:pPr>
        <w:spacing w:line="276" w:lineRule="auto"/>
        <w:jc w:val="both"/>
        <w:rPr>
          <w:rFonts w:ascii="Century Gothic" w:eastAsia="Georgia" w:hAnsi="Century Gothic" w:cs="Arial"/>
          <w:bCs/>
          <w:lang w:val="es-ES"/>
        </w:rPr>
      </w:pPr>
      <w:r w:rsidRPr="002D6F59">
        <w:rPr>
          <w:rFonts w:ascii="Century Gothic" w:eastAsia="Georgia" w:hAnsi="Century Gothic" w:cs="Arial"/>
          <w:bCs/>
          <w:lang w:val="es-ES"/>
        </w:rPr>
        <w:t>Podría pensarse que estos ejem</w:t>
      </w:r>
      <w:r w:rsidR="00B77F9D" w:rsidRPr="002D6F59">
        <w:rPr>
          <w:rFonts w:ascii="Century Gothic" w:eastAsia="Georgia" w:hAnsi="Century Gothic" w:cs="Arial"/>
          <w:bCs/>
          <w:lang w:val="es-ES"/>
        </w:rPr>
        <w:t>plos son situaciones aisladas, s</w:t>
      </w:r>
      <w:r w:rsidRPr="002D6F59">
        <w:rPr>
          <w:rFonts w:ascii="Century Gothic" w:eastAsia="Georgia" w:hAnsi="Century Gothic" w:cs="Arial"/>
          <w:bCs/>
          <w:lang w:val="es-ES"/>
        </w:rPr>
        <w:t>in embargo si se examinan  los  montos punitivos respecto de bienes jurídicos que son de igual importancia que la protección de la libertad integridad información sexual de los menores, se podrá observar que  estos delitos tienen penas menores que otras conductas igualmente graves. Las gráficas que se presentan a continuación</w:t>
      </w:r>
      <w:r w:rsidRPr="002D6F59">
        <w:rPr>
          <w:rStyle w:val="Refdenotaalpie"/>
          <w:rFonts w:ascii="Century Gothic" w:eastAsia="Georgia" w:hAnsi="Century Gothic" w:cs="Arial"/>
          <w:bCs/>
          <w:lang w:val="es-ES"/>
        </w:rPr>
        <w:footnoteReference w:id="6"/>
      </w:r>
      <w:r w:rsidRPr="002D6F59">
        <w:rPr>
          <w:rFonts w:ascii="Century Gothic" w:eastAsia="Georgia" w:hAnsi="Century Gothic" w:cs="Arial"/>
          <w:bCs/>
          <w:lang w:val="es-ES"/>
        </w:rPr>
        <w:t xml:space="preserve"> muestra la intensidad punitiva de acuerdo </w:t>
      </w:r>
      <w:r w:rsidR="00EF343E" w:rsidRPr="002D6F59">
        <w:rPr>
          <w:rFonts w:ascii="Century Gothic" w:eastAsia="Georgia" w:hAnsi="Century Gothic" w:cs="Arial"/>
          <w:bCs/>
          <w:lang w:val="es-ES"/>
        </w:rPr>
        <w:t xml:space="preserve">a los bienes jurídicos que </w:t>
      </w:r>
      <w:r w:rsidR="005627A0" w:rsidRPr="002D6F59">
        <w:rPr>
          <w:rFonts w:ascii="Century Gothic" w:eastAsia="Georgia" w:hAnsi="Century Gothic" w:cs="Arial"/>
          <w:bCs/>
          <w:lang w:val="es-ES"/>
        </w:rPr>
        <w:t>están</w:t>
      </w:r>
      <w:r w:rsidRPr="002D6F59">
        <w:rPr>
          <w:rFonts w:ascii="Century Gothic" w:eastAsia="Georgia" w:hAnsi="Century Gothic" w:cs="Arial"/>
          <w:bCs/>
          <w:lang w:val="es-ES"/>
        </w:rPr>
        <w:t xml:space="preserve"> en el Código Penal, de tal manera que “El valor 10 corresponde a la pena máxima posible en cada uno de los momentos comparados: 40 años </w:t>
      </w:r>
      <w:r w:rsidRPr="002D6F59">
        <w:rPr>
          <w:rFonts w:ascii="Century Gothic" w:eastAsia="Georgia" w:hAnsi="Century Gothic" w:cs="Arial"/>
          <w:bCs/>
          <w:lang w:val="es-ES"/>
        </w:rPr>
        <w:lastRenderedPageBreak/>
        <w:t>en el 2000 y 50 años en el 2016. El valor 0 indica, o que la modalidad delictiva no contempla pena de prisión, o que la pena máxima de prisión es menor o igual a tres (3) años –en el caso del 2000–, o menor o igual a cuatro coma cinco (4,5) años -en el caso del 2016. Mayor a 10, por último, indica la presencia en el título de modalidades delictivas castigadas con pena de prisión por encima de los 50 años”</w:t>
      </w:r>
      <w:r w:rsidRPr="002D6F59">
        <w:rPr>
          <w:rStyle w:val="Refdenotaalpie"/>
          <w:rFonts w:ascii="Century Gothic" w:eastAsia="Georgia" w:hAnsi="Century Gothic" w:cs="Arial"/>
          <w:bCs/>
          <w:lang w:val="es-ES"/>
        </w:rPr>
        <w:footnoteReference w:id="7"/>
      </w:r>
      <w:r w:rsidRPr="002D6F59">
        <w:rPr>
          <w:rFonts w:ascii="Century Gothic" w:eastAsia="Georgia" w:hAnsi="Century Gothic" w:cs="Arial"/>
          <w:bCs/>
          <w:lang w:val="es-ES"/>
        </w:rPr>
        <w:t>. Así, el color rojo indica aquellos bienes jurídicos que mayor penas tienen consagradas en el Código Penal. La primera gráfica corresponde a la intensidad de las penas de los delitos sexuales y posteriormente, se muestran las gráficas correspondientes a otros bienes jurídicos:</w:t>
      </w:r>
    </w:p>
    <w:p w14:paraId="2A971325" w14:textId="77777777" w:rsidR="00251E2E" w:rsidRPr="002D6F59" w:rsidRDefault="00251E2E" w:rsidP="00A4664D">
      <w:pPr>
        <w:jc w:val="both"/>
        <w:rPr>
          <w:rFonts w:ascii="Century Gothic" w:eastAsia="Georgia" w:hAnsi="Century Gothic" w:cs="Arial"/>
          <w:bCs/>
          <w:lang w:val="es-ES"/>
        </w:rPr>
      </w:pPr>
    </w:p>
    <w:p w14:paraId="15A050AB" w14:textId="6B286365" w:rsidR="00BC121A" w:rsidRPr="002D6F59" w:rsidRDefault="00BC121A" w:rsidP="00B17AB2">
      <w:pPr>
        <w:spacing w:line="276" w:lineRule="auto"/>
        <w:jc w:val="center"/>
        <w:rPr>
          <w:rFonts w:ascii="Century Gothic" w:eastAsia="Georgia" w:hAnsi="Century Gothic" w:cs="Arial"/>
          <w:b/>
          <w:bCs/>
        </w:rPr>
      </w:pPr>
      <w:r w:rsidRPr="002D6F59">
        <w:rPr>
          <w:rFonts w:ascii="Century Gothic" w:eastAsia="Georgia" w:hAnsi="Century Gothic" w:cs="Arial"/>
          <w:b/>
          <w:bCs/>
        </w:rPr>
        <w:t xml:space="preserve">Anexo </w:t>
      </w:r>
      <w:r w:rsidR="002442EA" w:rsidRPr="002D6F59">
        <w:rPr>
          <w:rFonts w:ascii="Century Gothic" w:eastAsia="Georgia" w:hAnsi="Century Gothic" w:cs="Arial"/>
          <w:b/>
          <w:bCs/>
        </w:rPr>
        <w:t>Número</w:t>
      </w:r>
      <w:r w:rsidRPr="002D6F59">
        <w:rPr>
          <w:rFonts w:ascii="Century Gothic" w:eastAsia="Georgia" w:hAnsi="Century Gothic" w:cs="Arial"/>
          <w:bCs/>
        </w:rPr>
        <w:t xml:space="preserve"> </w:t>
      </w:r>
      <w:r w:rsidRPr="002D6F59">
        <w:rPr>
          <w:rFonts w:ascii="Century Gothic" w:eastAsia="Georgia" w:hAnsi="Century Gothic" w:cs="Arial"/>
          <w:b/>
          <w:bCs/>
        </w:rPr>
        <w:t>4. Composición de cada uno de los títulos del libro II, Código Penal, según escala de gravedad de las penas de cada una de las modalidades delictivas que lo componen</w:t>
      </w:r>
      <w:r w:rsidRPr="002D6F59">
        <w:rPr>
          <w:rStyle w:val="Refdenotaalpie"/>
          <w:rFonts w:ascii="Century Gothic" w:eastAsia="Georgia" w:hAnsi="Century Gothic" w:cs="Arial"/>
          <w:b/>
          <w:bCs/>
        </w:rPr>
        <w:footnoteReference w:id="8"/>
      </w:r>
    </w:p>
    <w:p w14:paraId="308CBC85" w14:textId="41B7E072" w:rsidR="00BC121A" w:rsidRPr="002D6F59" w:rsidRDefault="00BC121A" w:rsidP="00A4664D">
      <w:pPr>
        <w:rPr>
          <w:rFonts w:ascii="Century Gothic" w:eastAsia="Georgia" w:hAnsi="Century Gothic" w:cs="Arial"/>
          <w:bCs/>
          <w:lang w:val="es-ES"/>
        </w:rPr>
      </w:pPr>
    </w:p>
    <w:p w14:paraId="1512980B" w14:textId="481DDB16" w:rsidR="00BC121A" w:rsidRPr="002D6F59" w:rsidRDefault="00BC121A" w:rsidP="00B17AB2">
      <w:pPr>
        <w:spacing w:line="276" w:lineRule="auto"/>
        <w:jc w:val="center"/>
        <w:rPr>
          <w:rFonts w:ascii="Century Gothic" w:eastAsia="Georgia" w:hAnsi="Century Gothic" w:cs="Arial"/>
          <w:b/>
          <w:bCs/>
          <w:lang w:val="es-ES"/>
        </w:rPr>
      </w:pPr>
      <w:r w:rsidRPr="002D6F59">
        <w:rPr>
          <w:rFonts w:ascii="Century Gothic" w:eastAsia="Georgia" w:hAnsi="Century Gothic" w:cs="Arial"/>
          <w:b/>
          <w:bCs/>
          <w:lang w:val="es-ES"/>
        </w:rPr>
        <w:t>Delitos contra la libertad, integ</w:t>
      </w:r>
      <w:r w:rsidR="00EF343E" w:rsidRPr="002D6F59">
        <w:rPr>
          <w:rFonts w:ascii="Century Gothic" w:eastAsia="Georgia" w:hAnsi="Century Gothic" w:cs="Arial"/>
          <w:b/>
          <w:bCs/>
          <w:lang w:val="es-ES"/>
        </w:rPr>
        <w:t>ridad y formación sexuales (IV)</w:t>
      </w:r>
    </w:p>
    <w:p w14:paraId="3C6ABA4D" w14:textId="77777777" w:rsidR="00067D87" w:rsidRPr="002D6F59" w:rsidRDefault="00067D87" w:rsidP="005627A0">
      <w:pPr>
        <w:jc w:val="center"/>
        <w:rPr>
          <w:rFonts w:ascii="Century Gothic" w:eastAsia="Georgia" w:hAnsi="Century Gothic" w:cs="Arial"/>
          <w:b/>
          <w:bCs/>
          <w:lang w:val="es-ES"/>
        </w:rPr>
      </w:pPr>
    </w:p>
    <w:p w14:paraId="3BE2FBA8" w14:textId="76185E7B" w:rsidR="00BC121A" w:rsidRPr="002D6F59" w:rsidRDefault="00BC121A" w:rsidP="00B17AB2">
      <w:pPr>
        <w:spacing w:line="276" w:lineRule="auto"/>
        <w:jc w:val="center"/>
        <w:rPr>
          <w:rFonts w:ascii="Century Gothic" w:eastAsia="Georgia" w:hAnsi="Century Gothic" w:cs="Arial"/>
          <w:bCs/>
          <w:lang w:val="es-ES"/>
        </w:rPr>
      </w:pPr>
      <w:r w:rsidRPr="002D6F59">
        <w:rPr>
          <w:rFonts w:ascii="Century Gothic" w:eastAsia="Georgia" w:hAnsi="Century Gothic" w:cs="Arial"/>
          <w:bCs/>
          <w:noProof/>
          <w:lang w:val="es-CO" w:eastAsia="es-CO"/>
        </w:rPr>
        <w:drawing>
          <wp:inline distT="0" distB="0" distL="0" distR="0" wp14:anchorId="6E471DAE" wp14:editId="02398D54">
            <wp:extent cx="5610897" cy="17986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0674" cy="1827434"/>
                    </a:xfrm>
                    <a:prstGeom prst="rect">
                      <a:avLst/>
                    </a:prstGeom>
                    <a:noFill/>
                    <a:ln>
                      <a:noFill/>
                    </a:ln>
                  </pic:spPr>
                </pic:pic>
              </a:graphicData>
            </a:graphic>
          </wp:inline>
        </w:drawing>
      </w:r>
    </w:p>
    <w:p w14:paraId="1F6C2A0B" w14:textId="77777777" w:rsidR="005627A0" w:rsidRDefault="005627A0" w:rsidP="005627A0">
      <w:pPr>
        <w:jc w:val="center"/>
        <w:rPr>
          <w:rFonts w:ascii="Century Gothic" w:eastAsia="Georgia" w:hAnsi="Century Gothic" w:cs="Arial"/>
          <w:b/>
          <w:bCs/>
        </w:rPr>
      </w:pPr>
    </w:p>
    <w:p w14:paraId="7701D861" w14:textId="05802084" w:rsidR="00A4664D" w:rsidRPr="002D6F59" w:rsidRDefault="00BC121A" w:rsidP="00067D87">
      <w:pPr>
        <w:spacing w:line="276" w:lineRule="auto"/>
        <w:jc w:val="center"/>
        <w:rPr>
          <w:rFonts w:ascii="Century Gothic" w:eastAsia="Georgia" w:hAnsi="Century Gothic" w:cs="Arial"/>
          <w:b/>
          <w:bCs/>
        </w:rPr>
      </w:pPr>
      <w:r w:rsidRPr="002D6F59">
        <w:rPr>
          <w:rFonts w:ascii="Century Gothic" w:eastAsia="Georgia" w:hAnsi="Century Gothic" w:cs="Arial"/>
          <w:b/>
          <w:bCs/>
        </w:rPr>
        <w:t>Delitos contra la vida y la integridad personal (I)</w:t>
      </w:r>
    </w:p>
    <w:p w14:paraId="5489DE31" w14:textId="77777777" w:rsidR="00067D87" w:rsidRPr="002D6F59" w:rsidRDefault="00067D87" w:rsidP="005627A0">
      <w:pPr>
        <w:jc w:val="center"/>
        <w:rPr>
          <w:rFonts w:ascii="Century Gothic" w:eastAsia="Georgia" w:hAnsi="Century Gothic" w:cs="Arial"/>
          <w:b/>
          <w:bCs/>
        </w:rPr>
      </w:pPr>
    </w:p>
    <w:p w14:paraId="2E9DD994" w14:textId="23337F71" w:rsidR="004D798D" w:rsidRPr="005627A0" w:rsidRDefault="00BC121A" w:rsidP="005627A0">
      <w:pPr>
        <w:widowControl w:val="0"/>
        <w:autoSpaceDE w:val="0"/>
        <w:autoSpaceDN w:val="0"/>
        <w:adjustRightInd w:val="0"/>
        <w:spacing w:line="276" w:lineRule="auto"/>
        <w:jc w:val="center"/>
        <w:rPr>
          <w:rFonts w:ascii="Century Gothic" w:hAnsi="Century Gothic" w:cs="Arial"/>
          <w:color w:val="000000"/>
          <w:lang w:val="es-ES"/>
        </w:rPr>
      </w:pPr>
      <w:r w:rsidRPr="002D6F59">
        <w:rPr>
          <w:rFonts w:ascii="Century Gothic" w:hAnsi="Century Gothic" w:cs="Arial"/>
          <w:noProof/>
          <w:color w:val="000000"/>
          <w:lang w:val="es-CO" w:eastAsia="es-CO"/>
        </w:rPr>
        <w:drawing>
          <wp:inline distT="0" distB="0" distL="0" distR="0" wp14:anchorId="7A9C6B80" wp14:editId="1D45DEFB">
            <wp:extent cx="5535930" cy="194938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1841" cy="1986675"/>
                    </a:xfrm>
                    <a:prstGeom prst="rect">
                      <a:avLst/>
                    </a:prstGeom>
                    <a:noFill/>
                    <a:ln>
                      <a:noFill/>
                    </a:ln>
                  </pic:spPr>
                </pic:pic>
              </a:graphicData>
            </a:graphic>
          </wp:inline>
        </w:drawing>
      </w:r>
    </w:p>
    <w:p w14:paraId="6F416A03" w14:textId="77777777" w:rsidR="00BC121A" w:rsidRPr="002D6F59" w:rsidRDefault="00BC121A" w:rsidP="00B17AB2">
      <w:pPr>
        <w:widowControl w:val="0"/>
        <w:autoSpaceDE w:val="0"/>
        <w:autoSpaceDN w:val="0"/>
        <w:adjustRightInd w:val="0"/>
        <w:spacing w:after="240" w:line="276" w:lineRule="auto"/>
        <w:jc w:val="center"/>
        <w:rPr>
          <w:rFonts w:ascii="Century Gothic" w:hAnsi="Century Gothic" w:cs="Arial"/>
          <w:color w:val="000000"/>
          <w:lang w:val="es-ES"/>
        </w:rPr>
      </w:pPr>
      <w:r w:rsidRPr="002D6F59">
        <w:rPr>
          <w:rFonts w:ascii="Century Gothic" w:hAnsi="Century Gothic" w:cs="Arial"/>
          <w:b/>
          <w:bCs/>
          <w:color w:val="000000"/>
          <w:lang w:val="es-ES"/>
        </w:rPr>
        <w:lastRenderedPageBreak/>
        <w:t>Delitos contra la libertad individual y otras garantías (III)</w:t>
      </w:r>
    </w:p>
    <w:p w14:paraId="2B04F4AF" w14:textId="563E0C15" w:rsidR="00BC121A" w:rsidRPr="002D6F59" w:rsidRDefault="00BC121A" w:rsidP="00B17AB2">
      <w:pPr>
        <w:widowControl w:val="0"/>
        <w:autoSpaceDE w:val="0"/>
        <w:autoSpaceDN w:val="0"/>
        <w:adjustRightInd w:val="0"/>
        <w:spacing w:line="276" w:lineRule="auto"/>
        <w:jc w:val="center"/>
        <w:rPr>
          <w:rFonts w:ascii="Century Gothic" w:hAnsi="Century Gothic" w:cs="Arial"/>
          <w:color w:val="000000"/>
          <w:lang w:val="es-ES"/>
        </w:rPr>
      </w:pPr>
      <w:r w:rsidRPr="002D6F59">
        <w:rPr>
          <w:rFonts w:ascii="Century Gothic" w:hAnsi="Century Gothic" w:cs="Arial"/>
          <w:noProof/>
          <w:color w:val="000000"/>
          <w:lang w:val="es-CO" w:eastAsia="es-CO"/>
        </w:rPr>
        <w:drawing>
          <wp:inline distT="0" distB="0" distL="0" distR="0" wp14:anchorId="515625E5" wp14:editId="0EF223D5">
            <wp:extent cx="5734050" cy="2409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035" cy="2429571"/>
                    </a:xfrm>
                    <a:prstGeom prst="rect">
                      <a:avLst/>
                    </a:prstGeom>
                    <a:noFill/>
                    <a:ln>
                      <a:noFill/>
                    </a:ln>
                  </pic:spPr>
                </pic:pic>
              </a:graphicData>
            </a:graphic>
          </wp:inline>
        </w:drawing>
      </w:r>
    </w:p>
    <w:p w14:paraId="00FAEDC9" w14:textId="77777777" w:rsidR="00251E2E" w:rsidRPr="002D6F59" w:rsidRDefault="00251E2E" w:rsidP="005627A0">
      <w:pPr>
        <w:jc w:val="center"/>
        <w:rPr>
          <w:rFonts w:ascii="Century Gothic" w:hAnsi="Century Gothic" w:cs="Arial"/>
          <w:b/>
          <w:bCs/>
          <w:lang w:val="es-ES"/>
        </w:rPr>
      </w:pPr>
    </w:p>
    <w:p w14:paraId="782BA880" w14:textId="2FC70441" w:rsidR="00BC121A" w:rsidRPr="002D6F59" w:rsidRDefault="00BC121A" w:rsidP="00B17AB2">
      <w:pPr>
        <w:spacing w:line="276" w:lineRule="auto"/>
        <w:jc w:val="center"/>
        <w:rPr>
          <w:rFonts w:ascii="Century Gothic" w:hAnsi="Century Gothic" w:cs="Arial"/>
          <w:b/>
          <w:bCs/>
          <w:lang w:val="es-ES"/>
        </w:rPr>
      </w:pPr>
      <w:r w:rsidRPr="002D6F59">
        <w:rPr>
          <w:rFonts w:ascii="Century Gothic" w:hAnsi="Century Gothic" w:cs="Arial"/>
          <w:b/>
          <w:bCs/>
          <w:lang w:val="es-ES"/>
        </w:rPr>
        <w:t>Delitos contra la seguridad pública (XII)</w:t>
      </w:r>
    </w:p>
    <w:p w14:paraId="3DEC28EA" w14:textId="77777777" w:rsidR="00BC121A" w:rsidRPr="002D6F59" w:rsidRDefault="00BC121A" w:rsidP="00A4664D">
      <w:pPr>
        <w:jc w:val="both"/>
        <w:rPr>
          <w:rFonts w:ascii="Century Gothic" w:hAnsi="Century Gothic" w:cs="Arial"/>
          <w:lang w:val="es-ES"/>
        </w:rPr>
      </w:pPr>
    </w:p>
    <w:p w14:paraId="18466A03" w14:textId="264702F7" w:rsidR="00BC121A" w:rsidRPr="002D6F59" w:rsidRDefault="00BC121A" w:rsidP="00B17AB2">
      <w:pPr>
        <w:spacing w:line="276" w:lineRule="auto"/>
        <w:jc w:val="center"/>
        <w:rPr>
          <w:rFonts w:ascii="Century Gothic" w:hAnsi="Century Gothic" w:cs="Arial"/>
          <w:lang w:val="es-ES"/>
        </w:rPr>
      </w:pPr>
      <w:r w:rsidRPr="002D6F59">
        <w:rPr>
          <w:rFonts w:ascii="Century Gothic" w:hAnsi="Century Gothic" w:cs="Arial"/>
          <w:noProof/>
          <w:lang w:val="es-CO" w:eastAsia="es-CO"/>
        </w:rPr>
        <w:drawing>
          <wp:inline distT="0" distB="0" distL="0" distR="0" wp14:anchorId="0B13E144" wp14:editId="73E13143">
            <wp:extent cx="5511800" cy="2095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2162" cy="2107043"/>
                    </a:xfrm>
                    <a:prstGeom prst="rect">
                      <a:avLst/>
                    </a:prstGeom>
                    <a:noFill/>
                    <a:ln>
                      <a:noFill/>
                    </a:ln>
                  </pic:spPr>
                </pic:pic>
              </a:graphicData>
            </a:graphic>
          </wp:inline>
        </w:drawing>
      </w:r>
    </w:p>
    <w:p w14:paraId="637F5957" w14:textId="77777777" w:rsidR="005627A0" w:rsidRDefault="005627A0" w:rsidP="00A4664D">
      <w:pPr>
        <w:spacing w:line="276" w:lineRule="auto"/>
        <w:jc w:val="center"/>
        <w:rPr>
          <w:rFonts w:ascii="Century Gothic" w:hAnsi="Century Gothic" w:cs="Arial"/>
          <w:b/>
          <w:bCs/>
          <w:lang w:val="es-ES"/>
        </w:rPr>
      </w:pPr>
    </w:p>
    <w:p w14:paraId="07546F1B" w14:textId="46D138DD" w:rsidR="00BC121A" w:rsidRPr="002D6F59" w:rsidRDefault="00BC121A" w:rsidP="00A4664D">
      <w:pPr>
        <w:spacing w:line="276" w:lineRule="auto"/>
        <w:jc w:val="center"/>
        <w:rPr>
          <w:rFonts w:ascii="Century Gothic" w:hAnsi="Century Gothic" w:cs="Arial"/>
          <w:b/>
          <w:bCs/>
          <w:lang w:val="es-ES"/>
        </w:rPr>
      </w:pPr>
      <w:r w:rsidRPr="002D6F59">
        <w:rPr>
          <w:rFonts w:ascii="Century Gothic" w:hAnsi="Century Gothic" w:cs="Arial"/>
          <w:b/>
          <w:bCs/>
          <w:lang w:val="es-ES"/>
        </w:rPr>
        <w:t>Delitos</w:t>
      </w:r>
      <w:r w:rsidR="00A4664D" w:rsidRPr="002D6F59">
        <w:rPr>
          <w:rFonts w:ascii="Century Gothic" w:hAnsi="Century Gothic" w:cs="Arial"/>
          <w:b/>
          <w:bCs/>
          <w:lang w:val="es-ES"/>
        </w:rPr>
        <w:t xml:space="preserve"> contra la salud pública (XIII)</w:t>
      </w:r>
    </w:p>
    <w:p w14:paraId="12CC06D9" w14:textId="77777777" w:rsidR="00A4664D" w:rsidRPr="002D6F59" w:rsidRDefault="00A4664D" w:rsidP="005627A0">
      <w:pPr>
        <w:jc w:val="center"/>
        <w:rPr>
          <w:rFonts w:ascii="Century Gothic" w:hAnsi="Century Gothic" w:cs="Arial"/>
          <w:b/>
          <w:bCs/>
          <w:lang w:val="es-ES"/>
        </w:rPr>
      </w:pPr>
    </w:p>
    <w:p w14:paraId="683AE192" w14:textId="56A6F68D" w:rsidR="004D798D" w:rsidRPr="005627A0" w:rsidRDefault="00BC121A" w:rsidP="005627A0">
      <w:pPr>
        <w:spacing w:line="276" w:lineRule="auto"/>
        <w:jc w:val="center"/>
        <w:rPr>
          <w:rFonts w:ascii="Century Gothic" w:hAnsi="Century Gothic" w:cs="Arial"/>
          <w:lang w:val="es-ES"/>
        </w:rPr>
      </w:pPr>
      <w:r w:rsidRPr="002D6F59">
        <w:rPr>
          <w:rFonts w:ascii="Century Gothic" w:hAnsi="Century Gothic" w:cs="Arial"/>
          <w:noProof/>
          <w:lang w:val="es-CO" w:eastAsia="es-CO"/>
        </w:rPr>
        <w:drawing>
          <wp:inline distT="0" distB="0" distL="0" distR="0" wp14:anchorId="1614FD79" wp14:editId="3D3F7751">
            <wp:extent cx="5472430" cy="1848896"/>
            <wp:effectExtent l="0" t="0" r="0" b="0"/>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934" cy="1872378"/>
                    </a:xfrm>
                    <a:prstGeom prst="rect">
                      <a:avLst/>
                    </a:prstGeom>
                    <a:noFill/>
                    <a:ln>
                      <a:noFill/>
                    </a:ln>
                  </pic:spPr>
                </pic:pic>
              </a:graphicData>
            </a:graphic>
          </wp:inline>
        </w:drawing>
      </w:r>
    </w:p>
    <w:p w14:paraId="1BC64A28" w14:textId="77777777" w:rsidR="00BC121A" w:rsidRPr="002D6F59" w:rsidRDefault="00BC121A" w:rsidP="00B17AB2">
      <w:pPr>
        <w:spacing w:line="276" w:lineRule="auto"/>
        <w:jc w:val="center"/>
        <w:rPr>
          <w:rFonts w:ascii="Century Gothic" w:hAnsi="Century Gothic" w:cs="Arial"/>
          <w:b/>
          <w:bCs/>
          <w:lang w:val="es-ES"/>
        </w:rPr>
      </w:pPr>
      <w:r w:rsidRPr="002D6F59">
        <w:rPr>
          <w:rFonts w:ascii="Century Gothic" w:hAnsi="Century Gothic" w:cs="Arial"/>
          <w:b/>
          <w:bCs/>
          <w:lang w:val="es-ES"/>
        </w:rPr>
        <w:lastRenderedPageBreak/>
        <w:t>Delitos contra la existencia y seguridad del Estado (XVII)</w:t>
      </w:r>
    </w:p>
    <w:p w14:paraId="2330C466" w14:textId="77777777" w:rsidR="00BC121A" w:rsidRPr="002D6F59" w:rsidRDefault="00BC121A" w:rsidP="005627A0">
      <w:pPr>
        <w:jc w:val="both"/>
        <w:rPr>
          <w:rFonts w:ascii="Century Gothic" w:hAnsi="Century Gothic" w:cs="Arial"/>
          <w:lang w:val="es-ES"/>
        </w:rPr>
      </w:pPr>
    </w:p>
    <w:p w14:paraId="20EB3315" w14:textId="29355B32" w:rsidR="00BC121A" w:rsidRPr="002D6F59" w:rsidRDefault="00BC121A" w:rsidP="00B17AB2">
      <w:pPr>
        <w:spacing w:line="276" w:lineRule="auto"/>
        <w:jc w:val="center"/>
        <w:rPr>
          <w:rFonts w:ascii="Century Gothic" w:hAnsi="Century Gothic" w:cs="Arial"/>
          <w:lang w:val="es-ES"/>
        </w:rPr>
      </w:pPr>
      <w:r w:rsidRPr="002D6F59">
        <w:rPr>
          <w:rFonts w:ascii="Century Gothic" w:hAnsi="Century Gothic" w:cs="Arial"/>
          <w:noProof/>
          <w:lang w:val="es-CO" w:eastAsia="es-CO"/>
        </w:rPr>
        <w:drawing>
          <wp:inline distT="0" distB="0" distL="0" distR="0" wp14:anchorId="234EE1AF" wp14:editId="0B8DD715">
            <wp:extent cx="5554980" cy="16764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8262" cy="1683426"/>
                    </a:xfrm>
                    <a:prstGeom prst="rect">
                      <a:avLst/>
                    </a:prstGeom>
                    <a:noFill/>
                    <a:ln>
                      <a:noFill/>
                    </a:ln>
                  </pic:spPr>
                </pic:pic>
              </a:graphicData>
            </a:graphic>
          </wp:inline>
        </w:drawing>
      </w:r>
    </w:p>
    <w:p w14:paraId="03EA21BF" w14:textId="12A2A54C" w:rsidR="00251E2E" w:rsidRPr="002D6F59" w:rsidRDefault="00251E2E" w:rsidP="00B17AB2">
      <w:pPr>
        <w:spacing w:line="276" w:lineRule="auto"/>
        <w:jc w:val="both"/>
        <w:rPr>
          <w:rFonts w:ascii="Century Gothic" w:hAnsi="Century Gothic" w:cs="Arial"/>
        </w:rPr>
      </w:pPr>
    </w:p>
    <w:p w14:paraId="08EA153B" w14:textId="57C95B61"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Del anterior estudio se deduce fácilmente que existen otros bienes jurídicos de igual o incluso menor entida</w:t>
      </w:r>
      <w:r w:rsidR="00B37DB0" w:rsidRPr="002D6F59">
        <w:rPr>
          <w:rFonts w:ascii="Century Gothic" w:hAnsi="Century Gothic" w:cs="Arial"/>
        </w:rPr>
        <w:t xml:space="preserve">d que la libertad, integridad y </w:t>
      </w:r>
      <w:r w:rsidRPr="002D6F59">
        <w:rPr>
          <w:rFonts w:ascii="Century Gothic" w:hAnsi="Century Gothic" w:cs="Arial"/>
        </w:rPr>
        <w:t xml:space="preserve">formación sexual, especialmente de los menores, que tienen penas superiores, tales como </w:t>
      </w:r>
      <w:r w:rsidRPr="002D6F59">
        <w:rPr>
          <w:rFonts w:ascii="Century Gothic" w:hAnsi="Century Gothic" w:cs="Arial"/>
          <w:bCs/>
        </w:rPr>
        <w:t xml:space="preserve">la vida y la integridad personal, </w:t>
      </w:r>
      <w:r w:rsidRPr="002D6F59">
        <w:rPr>
          <w:rFonts w:ascii="Century Gothic" w:hAnsi="Century Gothic" w:cs="Arial"/>
          <w:bCs/>
          <w:lang w:val="es-ES"/>
        </w:rPr>
        <w:t>la liberta</w:t>
      </w:r>
      <w:r w:rsidR="00B37DB0" w:rsidRPr="002D6F59">
        <w:rPr>
          <w:rFonts w:ascii="Century Gothic" w:hAnsi="Century Gothic" w:cs="Arial"/>
          <w:bCs/>
          <w:lang w:val="es-ES"/>
        </w:rPr>
        <w:t xml:space="preserve">d individual y otras garantías, </w:t>
      </w:r>
      <w:r w:rsidRPr="002D6F59">
        <w:rPr>
          <w:rFonts w:ascii="Century Gothic" w:hAnsi="Century Gothic" w:cs="Arial"/>
          <w:bCs/>
          <w:lang w:val="es-ES"/>
        </w:rPr>
        <w:t>la seguridad pública, la salud pública o la existencia y seguridad del Estado.</w:t>
      </w:r>
      <w:r w:rsidRPr="002D6F59">
        <w:rPr>
          <w:rFonts w:ascii="Century Gothic" w:hAnsi="Century Gothic" w:cs="Arial"/>
          <w:b/>
          <w:bCs/>
          <w:lang w:val="es-ES"/>
        </w:rPr>
        <w:t xml:space="preserve"> </w:t>
      </w:r>
      <w:r w:rsidRPr="002D6F59">
        <w:rPr>
          <w:rFonts w:ascii="Century Gothic" w:hAnsi="Century Gothic" w:cs="Arial"/>
        </w:rPr>
        <w:t>Es decir, los delitos sexuales contra menores tienen</w:t>
      </w:r>
      <w:r w:rsidR="004C34C7" w:rsidRPr="002D6F59">
        <w:rPr>
          <w:rFonts w:ascii="Century Gothic" w:hAnsi="Century Gothic" w:cs="Arial"/>
        </w:rPr>
        <w:t>, inexplicablemente un menor peso</w:t>
      </w:r>
      <w:r w:rsidRPr="002D6F59">
        <w:rPr>
          <w:rFonts w:ascii="Century Gothic" w:hAnsi="Century Gothic" w:cs="Arial"/>
        </w:rPr>
        <w:t xml:space="preserve">, que otros bienes jurídicos, </w:t>
      </w:r>
      <w:r w:rsidR="004C34C7" w:rsidRPr="002D6F59">
        <w:rPr>
          <w:rFonts w:ascii="Century Gothic" w:hAnsi="Century Gothic" w:cs="Arial"/>
        </w:rPr>
        <w:t>pese a que</w:t>
      </w:r>
      <w:r w:rsidRPr="002D6F59">
        <w:rPr>
          <w:rFonts w:ascii="Century Gothic" w:hAnsi="Century Gothic" w:cs="Arial"/>
        </w:rPr>
        <w:t xml:space="preserve"> los derechos de los menores prevalecen sobre los de los demás.</w:t>
      </w:r>
    </w:p>
    <w:p w14:paraId="173D2026" w14:textId="77777777" w:rsidR="00BC121A" w:rsidRPr="002D6F59" w:rsidRDefault="00BC121A" w:rsidP="005627A0">
      <w:pPr>
        <w:jc w:val="both"/>
        <w:rPr>
          <w:rFonts w:ascii="Century Gothic" w:hAnsi="Century Gothic" w:cs="Arial"/>
        </w:rPr>
      </w:pPr>
    </w:p>
    <w:p w14:paraId="1F070F9F" w14:textId="62C3875B"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La </w:t>
      </w:r>
      <w:r w:rsidR="004C34C7" w:rsidRPr="002D6F59">
        <w:rPr>
          <w:rFonts w:ascii="Century Gothic" w:hAnsi="Century Gothic" w:cs="Arial"/>
        </w:rPr>
        <w:t>conclusión a</w:t>
      </w:r>
      <w:r w:rsidRPr="002D6F59">
        <w:rPr>
          <w:rFonts w:ascii="Century Gothic" w:hAnsi="Century Gothic" w:cs="Arial"/>
        </w:rPr>
        <w:t xml:space="preserve"> la que se puede arribar en este aspecto</w:t>
      </w:r>
      <w:r w:rsidR="00B37DB0" w:rsidRPr="002D6F59">
        <w:rPr>
          <w:rFonts w:ascii="Century Gothic" w:hAnsi="Century Gothic" w:cs="Arial"/>
        </w:rPr>
        <w:t>,</w:t>
      </w:r>
      <w:r w:rsidRPr="002D6F59">
        <w:rPr>
          <w:rFonts w:ascii="Century Gothic" w:hAnsi="Century Gothic" w:cs="Arial"/>
        </w:rPr>
        <w:t xml:space="preserve"> es que las penas de los delitos sexuales que se cometen contra menores no son proporcionales a la gravedad del hecho, de ahí que resulte necesario no sólo un aumento de pena, sino la posibilidad de imponer excepcionalmente la cadena perpetua para así garantizar una retribución justa y la no reiteración de la conducta por parte del agresor.</w:t>
      </w:r>
    </w:p>
    <w:p w14:paraId="2BEAEF51" w14:textId="04ABFFC6" w:rsidR="00BC121A" w:rsidRPr="002D6F59" w:rsidRDefault="00BC121A" w:rsidP="00B17AB2">
      <w:pPr>
        <w:spacing w:line="276" w:lineRule="auto"/>
        <w:jc w:val="both"/>
        <w:rPr>
          <w:rFonts w:ascii="Century Gothic" w:hAnsi="Century Gothic" w:cs="Arial"/>
        </w:rPr>
      </w:pPr>
    </w:p>
    <w:p w14:paraId="6D4A67C8" w14:textId="768DE569" w:rsidR="00B37DB0" w:rsidRPr="002D6F59" w:rsidRDefault="00BC121A" w:rsidP="00B17AB2">
      <w:pPr>
        <w:pStyle w:val="Prrafodelista"/>
        <w:numPr>
          <w:ilvl w:val="0"/>
          <w:numId w:val="46"/>
        </w:numPr>
        <w:jc w:val="both"/>
        <w:rPr>
          <w:rFonts w:ascii="Century Gothic" w:hAnsi="Century Gothic" w:cs="Arial"/>
          <w:b/>
        </w:rPr>
      </w:pPr>
      <w:r w:rsidRPr="002D6F59">
        <w:rPr>
          <w:rFonts w:ascii="Century Gothic" w:hAnsi="Century Gothic" w:cs="Arial"/>
          <w:b/>
        </w:rPr>
        <w:t>EL PROYECTO DE ACTO LEGISLATIVO NO NIEGA EL CARÁCTER RESOCIALIZADOR DE LA PENA</w:t>
      </w:r>
      <w:r w:rsidR="00B37DB0" w:rsidRPr="002D6F59">
        <w:rPr>
          <w:rFonts w:ascii="Century Gothic" w:hAnsi="Century Gothic" w:cs="Arial"/>
          <w:b/>
        </w:rPr>
        <w:t>.</w:t>
      </w:r>
    </w:p>
    <w:p w14:paraId="62B6B189" w14:textId="57F2C81F" w:rsidR="00BC121A" w:rsidRDefault="00BC121A" w:rsidP="00067D87">
      <w:pPr>
        <w:spacing w:line="276" w:lineRule="auto"/>
        <w:jc w:val="both"/>
        <w:rPr>
          <w:rFonts w:ascii="Century Gothic" w:hAnsi="Century Gothic" w:cs="Arial"/>
        </w:rPr>
      </w:pPr>
      <w:r w:rsidRPr="002D6F59">
        <w:rPr>
          <w:rFonts w:ascii="Century Gothic" w:hAnsi="Century Gothic" w:cs="Arial"/>
        </w:rPr>
        <w:t>El artículo cuarto del Código Penal establece que:</w:t>
      </w:r>
    </w:p>
    <w:p w14:paraId="17F42E5F" w14:textId="77777777" w:rsidR="005627A0" w:rsidRPr="002D6F59" w:rsidRDefault="005627A0" w:rsidP="005627A0">
      <w:pPr>
        <w:jc w:val="both"/>
        <w:rPr>
          <w:rFonts w:ascii="Century Gothic" w:hAnsi="Century Gothic" w:cs="Arial"/>
        </w:rPr>
      </w:pPr>
    </w:p>
    <w:p w14:paraId="15C5B6DB" w14:textId="77777777" w:rsidR="00BC121A" w:rsidRPr="002D6F59" w:rsidRDefault="00BC121A" w:rsidP="00B17AB2">
      <w:pPr>
        <w:spacing w:line="276" w:lineRule="auto"/>
        <w:ind w:left="567" w:right="332"/>
        <w:jc w:val="both"/>
        <w:rPr>
          <w:rFonts w:ascii="Century Gothic" w:hAnsi="Century Gothic" w:cs="Arial"/>
          <w:i/>
          <w:sz w:val="20"/>
          <w:szCs w:val="20"/>
          <w:lang w:val="es-ES"/>
        </w:rPr>
      </w:pPr>
      <w:r w:rsidRPr="002D6F59">
        <w:rPr>
          <w:rFonts w:ascii="Century Gothic" w:hAnsi="Century Gothic" w:cs="Arial"/>
          <w:b/>
          <w:bCs/>
          <w:i/>
          <w:sz w:val="20"/>
          <w:szCs w:val="20"/>
          <w:lang w:val="es-ES"/>
        </w:rPr>
        <w:t>ARTICULO 4. FUNCIONES DE LA PENA.</w:t>
      </w:r>
      <w:r w:rsidRPr="002D6F59">
        <w:rPr>
          <w:rFonts w:ascii="Century Gothic" w:hAnsi="Century Gothic" w:cs="Arial"/>
          <w:i/>
          <w:sz w:val="20"/>
          <w:szCs w:val="20"/>
          <w:lang w:val="es-ES"/>
        </w:rPr>
        <w:t xml:space="preserve"> La pena cumplirá las funciones de prevención general, retribución justa, prevención especial, reinserción social y protección al condenado.</w:t>
      </w:r>
    </w:p>
    <w:p w14:paraId="5D049A1E" w14:textId="77777777" w:rsidR="00BC121A" w:rsidRPr="002D6F59" w:rsidRDefault="00BC121A" w:rsidP="00B17AB2">
      <w:pPr>
        <w:spacing w:line="276" w:lineRule="auto"/>
        <w:ind w:left="567" w:right="332"/>
        <w:jc w:val="both"/>
        <w:rPr>
          <w:rFonts w:ascii="Century Gothic" w:hAnsi="Century Gothic" w:cs="Arial"/>
          <w:sz w:val="20"/>
          <w:szCs w:val="20"/>
        </w:rPr>
      </w:pPr>
      <w:r w:rsidRPr="002D6F59">
        <w:rPr>
          <w:rFonts w:ascii="Century Gothic" w:hAnsi="Century Gothic" w:cs="Arial"/>
          <w:i/>
          <w:sz w:val="20"/>
          <w:szCs w:val="20"/>
          <w:lang w:val="es-ES"/>
        </w:rPr>
        <w:t>La prevención especial y la reinserción social operan en el momento de la ejecución de la pena de prisión</w:t>
      </w:r>
      <w:r w:rsidRPr="002D6F59">
        <w:rPr>
          <w:rFonts w:ascii="Century Gothic" w:hAnsi="Century Gothic" w:cs="Arial"/>
          <w:sz w:val="20"/>
          <w:szCs w:val="20"/>
          <w:lang w:val="es-ES"/>
        </w:rPr>
        <w:t>.</w:t>
      </w:r>
    </w:p>
    <w:p w14:paraId="14995156" w14:textId="77777777" w:rsidR="00BC121A" w:rsidRPr="002D6F59" w:rsidRDefault="00BC121A" w:rsidP="005627A0">
      <w:pPr>
        <w:jc w:val="both"/>
        <w:rPr>
          <w:rFonts w:ascii="Century Gothic" w:hAnsi="Century Gothic" w:cs="Arial"/>
        </w:rPr>
      </w:pPr>
    </w:p>
    <w:p w14:paraId="58D1FAF3" w14:textId="3F97F705"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La reinserción social mencionada en el artículo, hace referencia al carácter resocializado</w:t>
      </w:r>
      <w:r w:rsidR="004D798D" w:rsidRPr="002D6F59">
        <w:rPr>
          <w:rFonts w:ascii="Century Gothic" w:hAnsi="Century Gothic" w:cs="Arial"/>
        </w:rPr>
        <w:t>r</w:t>
      </w:r>
      <w:r w:rsidRPr="002D6F59">
        <w:rPr>
          <w:rFonts w:ascii="Century Gothic" w:hAnsi="Century Gothic" w:cs="Arial"/>
        </w:rPr>
        <w:t xml:space="preserve"> de la pena. Así, en las sentencias C-261 de 1996, C-806 de 2002 </w:t>
      </w:r>
      <w:r w:rsidR="00814CB0" w:rsidRPr="002D6F59">
        <w:rPr>
          <w:rFonts w:ascii="Century Gothic" w:hAnsi="Century Gothic" w:cs="Arial"/>
        </w:rPr>
        <w:lastRenderedPageBreak/>
        <w:t>y C</w:t>
      </w:r>
      <w:r w:rsidRPr="002D6F59">
        <w:rPr>
          <w:rFonts w:ascii="Century Gothic" w:hAnsi="Century Gothic" w:cs="Arial"/>
        </w:rPr>
        <w:t>-328 de 2016, la Corte Constitucional vinculó la resocialización con la dignidad humana y el libre desarrollo de la personalidad. De igual forma, en la sentencia C-430 de 1996</w:t>
      </w:r>
      <w:r w:rsidR="004D798D" w:rsidRPr="002D6F59">
        <w:rPr>
          <w:rFonts w:ascii="Century Gothic" w:hAnsi="Century Gothic" w:cs="Arial"/>
        </w:rPr>
        <w:t>, l</w:t>
      </w:r>
      <w:r w:rsidR="00814CB0" w:rsidRPr="002D6F59">
        <w:rPr>
          <w:rFonts w:ascii="Century Gothic" w:hAnsi="Century Gothic" w:cs="Arial"/>
        </w:rPr>
        <w:t>a</w:t>
      </w:r>
      <w:r w:rsidRPr="002D6F59">
        <w:rPr>
          <w:rFonts w:ascii="Century Gothic" w:hAnsi="Century Gothic" w:cs="Arial"/>
        </w:rPr>
        <w:t xml:space="preserve"> Corte Constitucional aclaró que uno de los objetivos del derecho penal es la resocialización, especialmente en la etapa de la ejecución de la pena. Siguiendo esta línea</w:t>
      </w:r>
      <w:r w:rsidR="004D798D" w:rsidRPr="002D6F59">
        <w:rPr>
          <w:rFonts w:ascii="Century Gothic" w:hAnsi="Century Gothic" w:cs="Arial"/>
        </w:rPr>
        <w:t>,</w:t>
      </w:r>
      <w:r w:rsidRPr="002D6F59">
        <w:rPr>
          <w:rFonts w:ascii="Century Gothic" w:hAnsi="Century Gothic" w:cs="Arial"/>
        </w:rPr>
        <w:t xml:space="preserve"> está la sentencia C-144 de 1997, en la cual se expresó que la finalidad de </w:t>
      </w:r>
      <w:r w:rsidR="00814CB0" w:rsidRPr="002D6F59">
        <w:rPr>
          <w:rFonts w:ascii="Century Gothic" w:hAnsi="Century Gothic" w:cs="Arial"/>
        </w:rPr>
        <w:t>las penas</w:t>
      </w:r>
      <w:r w:rsidRPr="002D6F59">
        <w:rPr>
          <w:rFonts w:ascii="Century Gothic" w:hAnsi="Century Gothic" w:cs="Arial"/>
        </w:rPr>
        <w:t xml:space="preserve"> estatales es la resocialización del condenado dentro del respeto por su autonomía y dignidad ya que, el objeto del derecho penal, propio de un Estado Social de Derecho no puede ser la exclusión del infractor si no su reinserción al pacto social. En sentencia C-565 de 1993, la Corte analizó la constitucionalidad de la pena m</w:t>
      </w:r>
      <w:r w:rsidR="004D798D" w:rsidRPr="002D6F59">
        <w:rPr>
          <w:rFonts w:ascii="Century Gothic" w:hAnsi="Century Gothic" w:cs="Arial"/>
        </w:rPr>
        <w:t>áxima del delito de secuestro, e</w:t>
      </w:r>
      <w:r w:rsidRPr="002D6F59">
        <w:rPr>
          <w:rFonts w:ascii="Century Gothic" w:hAnsi="Century Gothic" w:cs="Arial"/>
        </w:rPr>
        <w:t xml:space="preserve">n esa ocasión recalcó la necesidad de </w:t>
      </w:r>
      <w:r w:rsidR="004D798D" w:rsidRPr="002D6F59">
        <w:rPr>
          <w:rFonts w:ascii="Century Gothic" w:hAnsi="Century Gothic" w:cs="Arial"/>
        </w:rPr>
        <w:t>poner</w:t>
      </w:r>
      <w:r w:rsidRPr="002D6F59">
        <w:rPr>
          <w:rFonts w:ascii="Century Gothic" w:hAnsi="Century Gothic" w:cs="Arial"/>
        </w:rPr>
        <w:t xml:space="preserve"> límites a las penas de prisión basados en la resocialización: </w:t>
      </w:r>
    </w:p>
    <w:p w14:paraId="0A952AA6" w14:textId="77777777" w:rsidR="00BC121A" w:rsidRPr="002D6F59" w:rsidRDefault="00BC121A" w:rsidP="00B17AB2">
      <w:pPr>
        <w:spacing w:line="276" w:lineRule="auto"/>
        <w:jc w:val="both"/>
        <w:rPr>
          <w:rFonts w:ascii="Century Gothic" w:hAnsi="Century Gothic" w:cs="Arial"/>
        </w:rPr>
      </w:pPr>
    </w:p>
    <w:p w14:paraId="1791EB23" w14:textId="3ED6B2C7" w:rsidR="00BC121A" w:rsidRPr="002D6F59" w:rsidRDefault="00BC121A" w:rsidP="00B17AB2">
      <w:pPr>
        <w:spacing w:line="276" w:lineRule="auto"/>
        <w:ind w:left="426" w:right="332"/>
        <w:jc w:val="both"/>
        <w:rPr>
          <w:rFonts w:ascii="Century Gothic" w:hAnsi="Century Gothic" w:cs="Arial"/>
          <w:i/>
          <w:sz w:val="20"/>
          <w:szCs w:val="20"/>
        </w:rPr>
      </w:pPr>
      <w:r w:rsidRPr="002D6F59">
        <w:rPr>
          <w:rFonts w:ascii="Century Gothic" w:hAnsi="Century Gothic" w:cs="Arial"/>
          <w:i/>
          <w:sz w:val="20"/>
          <w:szCs w:val="20"/>
        </w:rPr>
        <w:t>“Por las</w:t>
      </w:r>
      <w:r w:rsidR="00814CB0" w:rsidRPr="002D6F59">
        <w:rPr>
          <w:rFonts w:ascii="Century Gothic" w:hAnsi="Century Gothic" w:cs="Arial"/>
          <w:i/>
          <w:sz w:val="20"/>
          <w:szCs w:val="20"/>
        </w:rPr>
        <w:t> expresadas</w:t>
      </w:r>
      <w:r w:rsidRPr="002D6F59">
        <w:rPr>
          <w:rFonts w:ascii="Century Gothic" w:hAnsi="Century Gothic" w:cs="Arial"/>
          <w:i/>
          <w:sz w:val="20"/>
          <w:szCs w:val="20"/>
        </w:rPr>
        <w:t xml:space="preserve"> razones, concluye la Corte que el legislador ha hecho un adecuado uso de la potestad de dar tratamientos diferentes a situaciones que por su naturaleza</w:t>
      </w:r>
      <w:r w:rsidR="00814CB0" w:rsidRPr="002D6F59">
        <w:rPr>
          <w:rFonts w:ascii="Century Gothic" w:hAnsi="Century Gothic" w:cs="Arial"/>
          <w:i/>
          <w:sz w:val="20"/>
          <w:szCs w:val="20"/>
        </w:rPr>
        <w:t> así</w:t>
      </w:r>
      <w:r w:rsidRPr="002D6F59">
        <w:rPr>
          <w:rFonts w:ascii="Century Gothic" w:hAnsi="Century Gothic" w:cs="Arial"/>
          <w:i/>
          <w:sz w:val="20"/>
          <w:szCs w:val="20"/>
        </w:rPr>
        <w:t xml:space="preserve"> lo imponen. Por lo demás, como ya quedó expuesto, lo que compromete la existencia de la posibilidad de resocialización no es la drástica incriminación de la conducta delictiva, sino más bien la existencia de sistemas que, como los subrogados penales y los sistemas de redención de la pena, garanticen al individuo que rectifica y en</w:t>
      </w:r>
      <w:r w:rsidR="005627A0">
        <w:rPr>
          <w:rFonts w:ascii="Century Gothic" w:hAnsi="Century Gothic" w:cs="Arial"/>
          <w:i/>
          <w:sz w:val="20"/>
          <w:szCs w:val="20"/>
        </w:rPr>
        <w:t xml:space="preserve"> </w:t>
      </w:r>
      <w:r w:rsidRPr="002D6F59">
        <w:rPr>
          <w:rFonts w:ascii="Century Gothic" w:hAnsi="Century Gothic" w:cs="Arial"/>
          <w:i/>
          <w:sz w:val="20"/>
          <w:szCs w:val="20"/>
        </w:rPr>
        <w:t>ruta su conducta, la efectiva reinserción en sociedad, aspecto éste que, por no constituir el contenido de las normas demandadas, no puede la Corporación entrar a analizar en esta oportunidad.”</w:t>
      </w:r>
    </w:p>
    <w:p w14:paraId="53F66678" w14:textId="77777777" w:rsidR="00BC121A" w:rsidRPr="002D6F59" w:rsidRDefault="00BC121A" w:rsidP="005627A0">
      <w:pPr>
        <w:ind w:left="426" w:right="332"/>
        <w:jc w:val="both"/>
        <w:rPr>
          <w:rFonts w:ascii="Century Gothic" w:hAnsi="Century Gothic" w:cs="Arial"/>
          <w:i/>
          <w:sz w:val="20"/>
          <w:szCs w:val="20"/>
        </w:rPr>
      </w:pPr>
    </w:p>
    <w:p w14:paraId="7AD7F24B" w14:textId="78D81DE7" w:rsidR="00BC121A" w:rsidRDefault="00BC121A" w:rsidP="00B17AB2">
      <w:pPr>
        <w:spacing w:line="276" w:lineRule="auto"/>
        <w:jc w:val="both"/>
        <w:rPr>
          <w:rFonts w:ascii="Century Gothic" w:hAnsi="Century Gothic" w:cs="Arial"/>
        </w:rPr>
      </w:pPr>
      <w:r w:rsidRPr="002D6F59">
        <w:rPr>
          <w:rFonts w:ascii="Century Gothic" w:hAnsi="Century Gothic" w:cs="Arial"/>
        </w:rPr>
        <w:t>Por su parte el artículo 5.6</w:t>
      </w:r>
      <w:r w:rsidR="004D798D" w:rsidRPr="002D6F59">
        <w:rPr>
          <w:rFonts w:ascii="Century Gothic" w:hAnsi="Century Gothic" w:cs="Arial"/>
        </w:rPr>
        <w:t xml:space="preserve"> de la Convención Americana de Derechos Humanos, </w:t>
      </w:r>
      <w:r w:rsidRPr="002D6F59">
        <w:rPr>
          <w:rFonts w:ascii="Century Gothic" w:hAnsi="Century Gothic" w:cs="Arial"/>
        </w:rPr>
        <w:t xml:space="preserve">formula como una finalidad de la privación de </w:t>
      </w:r>
      <w:r w:rsidR="005627A0">
        <w:rPr>
          <w:rFonts w:ascii="Century Gothic" w:hAnsi="Century Gothic" w:cs="Arial"/>
        </w:rPr>
        <w:t>la libertad la resocialización:</w:t>
      </w:r>
    </w:p>
    <w:p w14:paraId="16002A45" w14:textId="77777777" w:rsidR="005627A0" w:rsidRPr="002D6F59" w:rsidRDefault="005627A0" w:rsidP="005627A0">
      <w:pPr>
        <w:jc w:val="both"/>
        <w:rPr>
          <w:rFonts w:ascii="Century Gothic" w:hAnsi="Century Gothic" w:cs="Arial"/>
        </w:rPr>
      </w:pPr>
    </w:p>
    <w:p w14:paraId="49771325" w14:textId="77777777" w:rsidR="00BC121A" w:rsidRPr="002D6F59" w:rsidRDefault="00BC121A" w:rsidP="00B17AB2">
      <w:pPr>
        <w:spacing w:line="276" w:lineRule="auto"/>
        <w:ind w:left="567" w:right="190"/>
        <w:jc w:val="both"/>
        <w:rPr>
          <w:rFonts w:ascii="Century Gothic" w:hAnsi="Century Gothic" w:cs="Arial"/>
          <w:b/>
          <w:i/>
          <w:sz w:val="20"/>
          <w:szCs w:val="20"/>
        </w:rPr>
      </w:pPr>
      <w:r w:rsidRPr="002D6F59">
        <w:rPr>
          <w:rFonts w:ascii="Century Gothic" w:hAnsi="Century Gothic" w:cs="Arial"/>
          <w:b/>
        </w:rPr>
        <w:t> </w:t>
      </w:r>
      <w:r w:rsidRPr="002D6F59">
        <w:rPr>
          <w:rFonts w:ascii="Century Gothic" w:hAnsi="Century Gothic" w:cs="Arial"/>
          <w:b/>
          <w:i/>
          <w:sz w:val="20"/>
          <w:szCs w:val="20"/>
        </w:rPr>
        <w:t>Artículo 5.  Derecho a la Integridad Personal</w:t>
      </w:r>
    </w:p>
    <w:p w14:paraId="78263B7E"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1. Toda persona tiene derecho a que se respete su integridad física, psíquica y moral. </w:t>
      </w:r>
    </w:p>
    <w:p w14:paraId="6DC554CB"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2. Nadie debe ser sometido a torturas ni a penas o tratos crueles, inhumanos o degradantes.  Toda persona privada de libertad será tratada con el respeto debido a la dignidad inherente al ser humano. </w:t>
      </w:r>
    </w:p>
    <w:p w14:paraId="4652F20C"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3. La pena no puede trascender de la persona del delincuente. </w:t>
      </w:r>
    </w:p>
    <w:p w14:paraId="771C8B66"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4. Los procesados deben estar separados de los condenados, salvo en circunstancias excepcionales, y serán sometidos a un tratamiento adecuado a su condición de personas no condenadas. </w:t>
      </w:r>
    </w:p>
    <w:p w14:paraId="1D1CCE7A"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5. Cuando los menores puedan ser procesados, deben ser separados de los adultos y llevados ante tribunales especializados, con la mayor celeridad posible, para su tratamiento. </w:t>
      </w:r>
    </w:p>
    <w:p w14:paraId="7529F310" w14:textId="77777777" w:rsidR="00BC121A" w:rsidRPr="002D6F59" w:rsidRDefault="00BC121A" w:rsidP="00B17AB2">
      <w:pPr>
        <w:spacing w:line="276" w:lineRule="auto"/>
        <w:ind w:left="567" w:right="190"/>
        <w:jc w:val="both"/>
        <w:rPr>
          <w:rFonts w:ascii="Century Gothic" w:hAnsi="Century Gothic" w:cs="Arial"/>
          <w:sz w:val="20"/>
          <w:szCs w:val="20"/>
        </w:rPr>
      </w:pPr>
      <w:r w:rsidRPr="002D6F59">
        <w:rPr>
          <w:rFonts w:ascii="Century Gothic" w:hAnsi="Century Gothic" w:cs="Arial"/>
          <w:i/>
          <w:sz w:val="20"/>
          <w:szCs w:val="20"/>
        </w:rPr>
        <w:t> </w:t>
      </w:r>
      <w:r w:rsidRPr="002D6F59">
        <w:rPr>
          <w:rFonts w:ascii="Century Gothic" w:hAnsi="Century Gothic" w:cs="Arial"/>
          <w:b/>
          <w:i/>
          <w:sz w:val="20"/>
          <w:szCs w:val="20"/>
        </w:rPr>
        <w:t xml:space="preserve">6. Las penas privativas de la libertad tendrán como finalidad esencial la reforma y la readaptación social de los condenados. </w:t>
      </w:r>
      <w:r w:rsidRPr="002D6F59">
        <w:rPr>
          <w:rFonts w:ascii="Century Gothic" w:hAnsi="Century Gothic" w:cs="Arial"/>
          <w:i/>
          <w:sz w:val="20"/>
          <w:szCs w:val="20"/>
        </w:rPr>
        <w:t>(Negrilla fuera de texto).</w:t>
      </w:r>
    </w:p>
    <w:p w14:paraId="655E975C" w14:textId="77777777" w:rsidR="00BC121A" w:rsidRPr="002D6F59" w:rsidRDefault="00BC121A" w:rsidP="00B17AB2">
      <w:pPr>
        <w:spacing w:line="276" w:lineRule="auto"/>
        <w:ind w:right="190"/>
        <w:jc w:val="both"/>
        <w:rPr>
          <w:rFonts w:ascii="Century Gothic" w:hAnsi="Century Gothic" w:cs="Arial"/>
          <w:sz w:val="20"/>
          <w:szCs w:val="20"/>
        </w:rPr>
      </w:pPr>
    </w:p>
    <w:p w14:paraId="78E189A6" w14:textId="1204A06E"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lastRenderedPageBreak/>
        <w:t>Es claro entonces que en un sistema penal propio de un estado democrático de derecho la resocialización no puede ser negada absolutamente, so pena de que cualquier norma que así lo establezca sea cuestionada desde el punto de vista constitucional. Sin embargo, el proyecto de acto legislativo no el</w:t>
      </w:r>
      <w:r w:rsidR="004D798D" w:rsidRPr="002D6F59">
        <w:rPr>
          <w:rFonts w:ascii="Century Gothic" w:hAnsi="Century Gothic" w:cs="Arial"/>
        </w:rPr>
        <w:t>imina el carácter resocializador de la pena, p</w:t>
      </w:r>
      <w:r w:rsidRPr="002D6F59">
        <w:rPr>
          <w:rFonts w:ascii="Century Gothic" w:hAnsi="Century Gothic" w:cs="Arial"/>
        </w:rPr>
        <w:t xml:space="preserve">or dos evidentes razones: </w:t>
      </w:r>
    </w:p>
    <w:p w14:paraId="7F6A8E5A" w14:textId="77777777" w:rsidR="00BC121A" w:rsidRPr="002D6F59" w:rsidRDefault="00BC121A" w:rsidP="00B17AB2">
      <w:pPr>
        <w:spacing w:line="276" w:lineRule="auto"/>
        <w:jc w:val="both"/>
        <w:rPr>
          <w:rFonts w:ascii="Century Gothic" w:hAnsi="Century Gothic" w:cs="Arial"/>
        </w:rPr>
      </w:pPr>
    </w:p>
    <w:p w14:paraId="35E40603" w14:textId="49AEBAC2" w:rsidR="00BC121A" w:rsidRPr="002D6F59" w:rsidRDefault="00BC121A" w:rsidP="00B17AB2">
      <w:pPr>
        <w:pStyle w:val="Prrafodelista"/>
        <w:numPr>
          <w:ilvl w:val="0"/>
          <w:numId w:val="40"/>
        </w:numPr>
        <w:spacing w:after="0"/>
        <w:jc w:val="both"/>
        <w:rPr>
          <w:rFonts w:ascii="Century Gothic" w:hAnsi="Century Gothic" w:cs="Arial"/>
          <w:sz w:val="24"/>
          <w:szCs w:val="24"/>
        </w:rPr>
      </w:pPr>
      <w:r w:rsidRPr="002D6F59">
        <w:rPr>
          <w:rFonts w:ascii="Century Gothic" w:hAnsi="Century Gothic" w:cs="Arial"/>
          <w:sz w:val="24"/>
          <w:szCs w:val="24"/>
        </w:rPr>
        <w:t xml:space="preserve">En primer lugar, estamos frente a una pena perpetua revisable y reversible </w:t>
      </w:r>
      <w:r w:rsidR="004D798D" w:rsidRPr="002D6F59">
        <w:rPr>
          <w:rFonts w:ascii="Century Gothic" w:hAnsi="Century Gothic" w:cs="Arial"/>
          <w:sz w:val="24"/>
          <w:szCs w:val="24"/>
        </w:rPr>
        <w:t xml:space="preserve">ya </w:t>
      </w:r>
      <w:r w:rsidR="00814CB0" w:rsidRPr="002D6F59">
        <w:rPr>
          <w:rFonts w:ascii="Century Gothic" w:hAnsi="Century Gothic" w:cs="Arial"/>
          <w:sz w:val="24"/>
          <w:szCs w:val="24"/>
        </w:rPr>
        <w:t>que la</w:t>
      </w:r>
      <w:r w:rsidRPr="002D6F59">
        <w:rPr>
          <w:rFonts w:ascii="Century Gothic" w:hAnsi="Century Gothic" w:cs="Arial"/>
          <w:sz w:val="24"/>
          <w:szCs w:val="24"/>
        </w:rPr>
        <w:t xml:space="preserve"> prisión perpetua puede ser revocada si se cumplen los preceptos que la ley establezca para ello, en particular la efectiva resocialización del condenado. Lo que sí establece este acto legislativo es que tal revisión </w:t>
      </w:r>
      <w:r w:rsidR="004D798D" w:rsidRPr="002D6F59">
        <w:rPr>
          <w:rFonts w:ascii="Century Gothic" w:hAnsi="Century Gothic" w:cs="Arial"/>
          <w:sz w:val="24"/>
          <w:szCs w:val="24"/>
        </w:rPr>
        <w:t>no se podrá realizar antes de 25 años, c</w:t>
      </w:r>
      <w:r w:rsidRPr="002D6F59">
        <w:rPr>
          <w:rFonts w:ascii="Century Gothic" w:hAnsi="Century Gothic" w:cs="Arial"/>
          <w:sz w:val="24"/>
          <w:szCs w:val="24"/>
        </w:rPr>
        <w:t>ontados a partir de la imposición de la pena.</w:t>
      </w:r>
    </w:p>
    <w:p w14:paraId="07C7698D" w14:textId="77777777" w:rsidR="00BC121A" w:rsidRPr="002D6F59" w:rsidRDefault="00BC121A" w:rsidP="00B17AB2">
      <w:pPr>
        <w:pStyle w:val="Prrafodelista"/>
        <w:jc w:val="both"/>
        <w:rPr>
          <w:rFonts w:ascii="Century Gothic" w:hAnsi="Century Gothic" w:cs="Arial"/>
          <w:sz w:val="24"/>
          <w:szCs w:val="24"/>
        </w:rPr>
      </w:pPr>
    </w:p>
    <w:p w14:paraId="0828EC24" w14:textId="65D20722" w:rsidR="00BC121A" w:rsidRPr="002D6F59" w:rsidRDefault="00BC121A" w:rsidP="00B17AB2">
      <w:pPr>
        <w:pStyle w:val="Prrafodelista"/>
        <w:numPr>
          <w:ilvl w:val="0"/>
          <w:numId w:val="40"/>
        </w:numPr>
        <w:spacing w:after="0"/>
        <w:jc w:val="both"/>
        <w:rPr>
          <w:rFonts w:ascii="Century Gothic" w:hAnsi="Century Gothic" w:cs="Arial"/>
          <w:sz w:val="24"/>
          <w:szCs w:val="24"/>
        </w:rPr>
      </w:pPr>
      <w:r w:rsidRPr="002D6F59">
        <w:rPr>
          <w:rFonts w:ascii="Century Gothic" w:hAnsi="Century Gothic" w:cs="Arial"/>
          <w:sz w:val="24"/>
          <w:szCs w:val="24"/>
        </w:rPr>
        <w:t>En segundo lugar, las personas condenadas a c</w:t>
      </w:r>
      <w:r w:rsidR="004D798D" w:rsidRPr="002D6F59">
        <w:rPr>
          <w:rFonts w:ascii="Century Gothic" w:hAnsi="Century Gothic" w:cs="Arial"/>
          <w:sz w:val="24"/>
          <w:szCs w:val="24"/>
        </w:rPr>
        <w:t>adena perpetua tendrán acceso, e</w:t>
      </w:r>
      <w:r w:rsidRPr="002D6F59">
        <w:rPr>
          <w:rFonts w:ascii="Century Gothic" w:hAnsi="Century Gothic" w:cs="Arial"/>
          <w:sz w:val="24"/>
          <w:szCs w:val="24"/>
        </w:rPr>
        <w:t>n condiciones de igualdad, a todos los programas de resocialización establecidos, tales como la po</w:t>
      </w:r>
      <w:r w:rsidR="004D798D" w:rsidRPr="002D6F59">
        <w:rPr>
          <w:rFonts w:ascii="Century Gothic" w:hAnsi="Century Gothic" w:cs="Arial"/>
          <w:sz w:val="24"/>
          <w:szCs w:val="24"/>
        </w:rPr>
        <w:t xml:space="preserve">sibilidad de realizar estudios o actividades productivas, </w:t>
      </w:r>
      <w:r w:rsidRPr="002D6F59">
        <w:rPr>
          <w:rFonts w:ascii="Century Gothic" w:hAnsi="Century Gothic" w:cs="Arial"/>
          <w:sz w:val="24"/>
          <w:szCs w:val="24"/>
        </w:rPr>
        <w:t>que les permite emprender un proceso efectivo de resocialización.</w:t>
      </w:r>
    </w:p>
    <w:p w14:paraId="24F7D11C" w14:textId="77777777" w:rsidR="00BC121A" w:rsidRPr="002D6F59" w:rsidRDefault="00BC121A" w:rsidP="00067D87">
      <w:pPr>
        <w:jc w:val="both"/>
        <w:rPr>
          <w:rFonts w:ascii="Century Gothic" w:hAnsi="Century Gothic" w:cs="Arial"/>
        </w:rPr>
      </w:pPr>
    </w:p>
    <w:p w14:paraId="521DE335" w14:textId="7777777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Así las cosas, es equivocado pensar que la cadena perpetua, en los términos establecidos en el proyecto de ley, descarta las posibilidades de resocialización del condenado y afecta desproporcionadamente su dignidad.</w:t>
      </w:r>
    </w:p>
    <w:p w14:paraId="5FA23F65" w14:textId="557FF405" w:rsidR="00BC121A" w:rsidRPr="002D6F59" w:rsidRDefault="00BC121A" w:rsidP="005627A0">
      <w:pPr>
        <w:jc w:val="both"/>
        <w:rPr>
          <w:rFonts w:ascii="Century Gothic" w:hAnsi="Century Gothic" w:cs="Arial"/>
        </w:rPr>
      </w:pPr>
    </w:p>
    <w:p w14:paraId="7D0745A6" w14:textId="611E8BD4" w:rsidR="00BC121A" w:rsidRPr="002D6F59" w:rsidRDefault="00BC121A" w:rsidP="00B17AB2">
      <w:pPr>
        <w:pStyle w:val="Prrafodelista"/>
        <w:numPr>
          <w:ilvl w:val="0"/>
          <w:numId w:val="46"/>
        </w:numPr>
        <w:jc w:val="both"/>
        <w:rPr>
          <w:rFonts w:ascii="Century Gothic" w:hAnsi="Century Gothic" w:cs="Arial"/>
          <w:b/>
          <w:bCs/>
          <w:caps/>
        </w:rPr>
      </w:pPr>
      <w:r w:rsidRPr="002D6F59">
        <w:rPr>
          <w:rFonts w:ascii="Century Gothic" w:hAnsi="Century Gothic" w:cs="Arial"/>
          <w:b/>
          <w:bCs/>
          <w:caps/>
        </w:rPr>
        <w:t xml:space="preserve">Los tratados internacionales no prohíben </w:t>
      </w:r>
      <w:r w:rsidR="004D798D" w:rsidRPr="002D6F59">
        <w:rPr>
          <w:rFonts w:ascii="Century Gothic" w:hAnsi="Century Gothic" w:cs="Arial"/>
          <w:b/>
          <w:bCs/>
          <w:caps/>
        </w:rPr>
        <w:t>LA PENA</w:t>
      </w:r>
      <w:r w:rsidRPr="002D6F59">
        <w:rPr>
          <w:rFonts w:ascii="Century Gothic" w:hAnsi="Century Gothic" w:cs="Arial"/>
          <w:b/>
          <w:bCs/>
          <w:caps/>
        </w:rPr>
        <w:t xml:space="preserve"> de prisión perpetua</w:t>
      </w:r>
      <w:r w:rsidR="004D798D" w:rsidRPr="002D6F59">
        <w:rPr>
          <w:rFonts w:ascii="Century Gothic" w:hAnsi="Century Gothic" w:cs="Arial"/>
          <w:b/>
          <w:bCs/>
          <w:caps/>
        </w:rPr>
        <w:t>.</w:t>
      </w:r>
    </w:p>
    <w:p w14:paraId="1B07FED9" w14:textId="23AF74DB"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Si se revisan los tratados internacionales, ninguno de aquellos que ha sido ratificado por Colombia </w:t>
      </w:r>
      <w:r w:rsidR="004D798D" w:rsidRPr="002D6F59">
        <w:rPr>
          <w:rFonts w:ascii="Century Gothic" w:hAnsi="Century Gothic" w:cs="Arial"/>
        </w:rPr>
        <w:t>desa</w:t>
      </w:r>
      <w:r w:rsidRPr="002D6F59">
        <w:rPr>
          <w:rFonts w:ascii="Century Gothic" w:hAnsi="Century Gothic" w:cs="Arial"/>
        </w:rPr>
        <w:t>prueba expresamente la cadena perpetua. Por el contrario, como se indicó muchos de los países que han ratificado estos tratados tienen dentro de su legislación la posibilidad de im</w:t>
      </w:r>
      <w:r w:rsidR="004D798D" w:rsidRPr="002D6F59">
        <w:rPr>
          <w:rFonts w:ascii="Century Gothic" w:hAnsi="Century Gothic" w:cs="Arial"/>
        </w:rPr>
        <w:t>poner penas de prisión perpetua,</w:t>
      </w:r>
      <w:r w:rsidRPr="002D6F59">
        <w:rPr>
          <w:rFonts w:ascii="Century Gothic" w:hAnsi="Century Gothic" w:cs="Arial"/>
        </w:rPr>
        <w:t xml:space="preserve"> cuando se trata de delitos graves, particularmente, los delitos sexuales que se cometen en contra de los niños, niñas y adolescentes. </w:t>
      </w:r>
    </w:p>
    <w:p w14:paraId="1CC882F5" w14:textId="77777777" w:rsidR="00BC121A" w:rsidRPr="002D6F59" w:rsidRDefault="00BC121A" w:rsidP="00B17AB2">
      <w:pPr>
        <w:spacing w:line="276" w:lineRule="auto"/>
        <w:jc w:val="both"/>
        <w:rPr>
          <w:rFonts w:ascii="Century Gothic" w:hAnsi="Century Gothic" w:cs="Arial"/>
        </w:rPr>
      </w:pPr>
    </w:p>
    <w:p w14:paraId="717EB11F" w14:textId="7DFA4622" w:rsidR="00BC121A" w:rsidRDefault="00BC121A" w:rsidP="00B17AB2">
      <w:pPr>
        <w:spacing w:line="276" w:lineRule="auto"/>
        <w:jc w:val="both"/>
        <w:rPr>
          <w:rFonts w:ascii="Century Gothic" w:hAnsi="Century Gothic" w:cs="Arial"/>
        </w:rPr>
      </w:pPr>
      <w:r w:rsidRPr="002D6F59">
        <w:rPr>
          <w:rFonts w:ascii="Century Gothic" w:hAnsi="Century Gothic" w:cs="Arial"/>
        </w:rPr>
        <w:t xml:space="preserve">Lo que sí está prohibido </w:t>
      </w:r>
      <w:r w:rsidR="004C34C7" w:rsidRPr="002D6F59">
        <w:rPr>
          <w:rFonts w:ascii="Century Gothic" w:hAnsi="Century Gothic" w:cs="Arial"/>
        </w:rPr>
        <w:t>en varios</w:t>
      </w:r>
      <w:r w:rsidRPr="002D6F59">
        <w:rPr>
          <w:rFonts w:ascii="Century Gothic" w:hAnsi="Century Gothic" w:cs="Arial"/>
        </w:rPr>
        <w:t xml:space="preserve"> instrumentos </w:t>
      </w:r>
      <w:r w:rsidR="004C34C7" w:rsidRPr="002D6F59">
        <w:rPr>
          <w:rFonts w:ascii="Century Gothic" w:hAnsi="Century Gothic" w:cs="Arial"/>
        </w:rPr>
        <w:t>internacionales es</w:t>
      </w:r>
      <w:r w:rsidRPr="002D6F59">
        <w:rPr>
          <w:rFonts w:ascii="Century Gothic" w:hAnsi="Century Gothic" w:cs="Arial"/>
        </w:rPr>
        <w:t xml:space="preserve"> someter a las personas a</w:t>
      </w:r>
      <w:r w:rsidR="00743981" w:rsidRPr="002D6F59">
        <w:rPr>
          <w:rFonts w:ascii="Century Gothic" w:hAnsi="Century Gothic" w:cs="Arial"/>
        </w:rPr>
        <w:t xml:space="preserve"> </w:t>
      </w:r>
      <w:r w:rsidRPr="002D6F59">
        <w:rPr>
          <w:rFonts w:ascii="Century Gothic" w:hAnsi="Century Gothic" w:cs="Arial"/>
        </w:rPr>
        <w:t>penas que pueden ser consideradas crueles, inhumanas o degradantes</w:t>
      </w:r>
      <w:r w:rsidR="00814CB0" w:rsidRPr="002D6F59">
        <w:rPr>
          <w:rFonts w:ascii="Century Gothic" w:hAnsi="Century Gothic" w:cs="Arial"/>
        </w:rPr>
        <w:t>, como</w:t>
      </w:r>
      <w:r w:rsidR="00743981" w:rsidRPr="002D6F59">
        <w:rPr>
          <w:rFonts w:ascii="Century Gothic" w:hAnsi="Century Gothic" w:cs="Arial"/>
        </w:rPr>
        <w:t xml:space="preserve"> también lo hace el artículo 3</w:t>
      </w:r>
      <w:r w:rsidRPr="002D6F59">
        <w:rPr>
          <w:rFonts w:ascii="Century Gothic" w:hAnsi="Century Gothic" w:cs="Arial"/>
        </w:rPr>
        <w:t xml:space="preserve">4 de nuestra carta política. Así, por ejemplo, la Convención Americana sobre Derechos Humanos adoptada por Colombia, establece en su Artículo 5, Numeral 2, la prohibición para los estados de someter a la persona a torturas o penas crueles, inhumanas </w:t>
      </w:r>
      <w:r w:rsidRPr="002D6F59">
        <w:rPr>
          <w:rFonts w:ascii="Century Gothic" w:hAnsi="Century Gothic" w:cs="Arial"/>
        </w:rPr>
        <w:lastRenderedPageBreak/>
        <w:t>y degradantes. Igualmente, la Convención para Prevenir y Sancionar la Tortura y Penas Crueles, Inhumanas y Degradantes, estipula en su Artículo 16, Numeral 1 que “</w:t>
      </w:r>
      <w:r w:rsidRPr="002D6F59">
        <w:rPr>
          <w:rFonts w:ascii="Century Gothic" w:hAnsi="Century Gothic" w:cs="Arial"/>
          <w:i/>
        </w:rPr>
        <w:t>Todo Estado Parte se comprometerá a prohibir en cualquier territorio bajo su jurisdicción otros actos que constituyan tratos o penas crueles, inhumanos o degradantes y que no lleguen a ser tortura</w:t>
      </w:r>
      <w:r w:rsidRPr="002D6F59">
        <w:rPr>
          <w:rFonts w:ascii="Century Gothic" w:hAnsi="Century Gothic" w:cs="Arial"/>
        </w:rPr>
        <w:t>”.</w:t>
      </w:r>
    </w:p>
    <w:p w14:paraId="05618E5A" w14:textId="77777777" w:rsidR="005627A0" w:rsidRPr="002D6F59" w:rsidRDefault="005627A0" w:rsidP="005627A0">
      <w:pPr>
        <w:jc w:val="both"/>
        <w:rPr>
          <w:rFonts w:ascii="Century Gothic" w:hAnsi="Century Gothic" w:cs="Arial"/>
        </w:rPr>
      </w:pPr>
    </w:p>
    <w:p w14:paraId="245DD7B7" w14:textId="7777777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Cómo puede observarse, no existe impedimento en el ámbito internacional que le permita Colombia modificar su Constitución, en desarrollo de la libertad de configuración de legislativa, para así crear la posibilidad excepcional de imponer una cadena perpetua que sea tanto reversible como revisable.</w:t>
      </w:r>
    </w:p>
    <w:p w14:paraId="43C82155" w14:textId="28C13A49" w:rsidR="00743981" w:rsidRPr="002D6F59" w:rsidRDefault="00743981" w:rsidP="00B17AB2">
      <w:pPr>
        <w:spacing w:line="276" w:lineRule="auto"/>
        <w:jc w:val="both"/>
        <w:rPr>
          <w:rFonts w:ascii="Century Gothic" w:hAnsi="Century Gothic" w:cs="Arial"/>
        </w:rPr>
      </w:pPr>
    </w:p>
    <w:p w14:paraId="18416C87" w14:textId="0895749C" w:rsidR="00BC121A" w:rsidRPr="002D6F59" w:rsidRDefault="00BC121A" w:rsidP="00B17AB2">
      <w:pPr>
        <w:pStyle w:val="Prrafodelista"/>
        <w:numPr>
          <w:ilvl w:val="0"/>
          <w:numId w:val="46"/>
        </w:numPr>
        <w:jc w:val="both"/>
        <w:rPr>
          <w:rFonts w:ascii="Century Gothic" w:hAnsi="Century Gothic" w:cs="Arial"/>
          <w:b/>
        </w:rPr>
      </w:pPr>
      <w:r w:rsidRPr="002D6F59">
        <w:rPr>
          <w:rFonts w:ascii="Century Gothic" w:hAnsi="Century Gothic" w:cs="Arial"/>
          <w:b/>
        </w:rPr>
        <w:t>LA CADENA PERPETUA NO RESULTA UNA MEDIDA DESPROPORCIONALMENTE COSTOSA</w:t>
      </w:r>
    </w:p>
    <w:p w14:paraId="20ED3250" w14:textId="3532BAED" w:rsidR="00BC121A" w:rsidRPr="002D6F59" w:rsidRDefault="00BC121A" w:rsidP="00B17AB2">
      <w:pPr>
        <w:spacing w:line="276" w:lineRule="auto"/>
        <w:jc w:val="both"/>
        <w:rPr>
          <w:rFonts w:ascii="Century Gothic" w:hAnsi="Century Gothic" w:cs="Arial"/>
          <w:lang w:val="es-ES"/>
        </w:rPr>
      </w:pPr>
      <w:r w:rsidRPr="002D6F59">
        <w:rPr>
          <w:rFonts w:ascii="Century Gothic" w:hAnsi="Century Gothic" w:cs="Arial"/>
          <w:lang w:val="es-ES"/>
        </w:rPr>
        <w:t>L</w:t>
      </w:r>
      <w:r w:rsidR="00743981" w:rsidRPr="002D6F59">
        <w:rPr>
          <w:rFonts w:ascii="Century Gothic" w:hAnsi="Century Gothic" w:cs="Arial"/>
          <w:lang w:val="es-ES"/>
        </w:rPr>
        <w:t>a cadena perpetua, e</w:t>
      </w:r>
      <w:r w:rsidRPr="002D6F59">
        <w:rPr>
          <w:rFonts w:ascii="Century Gothic" w:hAnsi="Century Gothic" w:cs="Arial"/>
          <w:lang w:val="es-ES"/>
        </w:rPr>
        <w:t>n los términos establecidos en este proyecto de acto legislativo, no resulta una medida costosa desde el punto de vista financiero, si se tienen cuenta que, en primer lugar, se tra</w:t>
      </w:r>
      <w:r w:rsidR="001D1CAB" w:rsidRPr="002D6F59">
        <w:rPr>
          <w:rFonts w:ascii="Century Gothic" w:hAnsi="Century Gothic" w:cs="Arial"/>
          <w:lang w:val="es-ES"/>
        </w:rPr>
        <w:t>tara de eventos excepcionales, e</w:t>
      </w:r>
      <w:r w:rsidRPr="002D6F59">
        <w:rPr>
          <w:rFonts w:ascii="Century Gothic" w:hAnsi="Century Gothic" w:cs="Arial"/>
          <w:lang w:val="es-ES"/>
        </w:rPr>
        <w:t xml:space="preserve">n los cuales se podría aplicar dicha sanción. En segundo lugar, debe tenerse en cuenta que las noticias criminales reportadas en el periodo 2014 a 2018 de los delitos corresponden solamente al </w:t>
      </w:r>
      <w:r w:rsidRPr="002D6F59">
        <w:rPr>
          <w:rFonts w:ascii="Century Gothic" w:hAnsi="Century Gothic" w:cs="Arial"/>
          <w:b/>
          <w:lang w:val="es-ES"/>
        </w:rPr>
        <w:t>1,06</w:t>
      </w:r>
      <w:r w:rsidRPr="002D6F59">
        <w:rPr>
          <w:rFonts w:ascii="Century Gothic" w:hAnsi="Century Gothic" w:cs="Arial"/>
          <w:lang w:val="es-ES"/>
        </w:rPr>
        <w:t>% del número de noticias criminales a nivel nacional, es decir, respecto de la totalidad de los delitos denunciados, los delitos sexuales contra niños niñas y adolescentes son</w:t>
      </w:r>
      <w:r w:rsidR="001D1CAB" w:rsidRPr="002D6F59">
        <w:rPr>
          <w:rFonts w:ascii="Century Gothic" w:hAnsi="Century Gothic" w:cs="Arial"/>
          <w:lang w:val="es-ES"/>
        </w:rPr>
        <w:t xml:space="preserve"> ligeramente superiores al 1%, </w:t>
      </w:r>
      <w:r w:rsidRPr="002D6F59">
        <w:rPr>
          <w:rFonts w:ascii="Century Gothic" w:hAnsi="Century Gothic" w:cs="Arial"/>
          <w:lang w:val="es-ES"/>
        </w:rPr>
        <w:t xml:space="preserve">haciendo </w:t>
      </w:r>
      <w:r w:rsidR="001D1CAB" w:rsidRPr="002D6F59">
        <w:rPr>
          <w:rFonts w:ascii="Century Gothic" w:hAnsi="Century Gothic" w:cs="Arial"/>
          <w:lang w:val="es-ES"/>
        </w:rPr>
        <w:t xml:space="preserve">que </w:t>
      </w:r>
      <w:r w:rsidRPr="002D6F59">
        <w:rPr>
          <w:rFonts w:ascii="Century Gothic" w:hAnsi="Century Gothic" w:cs="Arial"/>
          <w:lang w:val="es-ES"/>
        </w:rPr>
        <w:t>la posibilidad de</w:t>
      </w:r>
      <w:r w:rsidR="001D1CAB" w:rsidRPr="002D6F59">
        <w:rPr>
          <w:rFonts w:ascii="Century Gothic" w:hAnsi="Century Gothic" w:cs="Arial"/>
          <w:lang w:val="es-ES"/>
        </w:rPr>
        <w:t xml:space="preserve"> </w:t>
      </w:r>
      <w:r w:rsidRPr="002D6F59">
        <w:rPr>
          <w:rFonts w:ascii="Century Gothic" w:hAnsi="Century Gothic" w:cs="Arial"/>
          <w:lang w:val="es-ES"/>
        </w:rPr>
        <w:t>que se aplique la prisión perpetua sea aún más reducida, aunado a su carácter excepcional.</w:t>
      </w:r>
    </w:p>
    <w:p w14:paraId="46AFF48A" w14:textId="5E2FC4CD" w:rsidR="00BC121A" w:rsidRPr="002D6F59" w:rsidRDefault="00BC121A" w:rsidP="00B17AB2">
      <w:pPr>
        <w:spacing w:line="276" w:lineRule="auto"/>
        <w:jc w:val="both"/>
        <w:rPr>
          <w:rFonts w:ascii="Century Gothic" w:hAnsi="Century Gothic" w:cs="Arial"/>
          <w:lang w:val="es-ES"/>
        </w:rPr>
      </w:pPr>
    </w:p>
    <w:p w14:paraId="62A68D49" w14:textId="1E44E2F6"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Finalmente, teniendo en cuenta el interés superior del menor, debe decirse que la protección de los niños niñas y adolescentes no puede estar limitada por aspectos presupuestales, los cuales, como se observan no representa un impacto desproporcionado al sistema penitenciario colombiano.</w:t>
      </w:r>
    </w:p>
    <w:p w14:paraId="3C991BE3" w14:textId="3DDF2FD2" w:rsidR="001D1CAB" w:rsidRPr="002D6F59" w:rsidRDefault="001D1CAB" w:rsidP="00B17AB2">
      <w:pPr>
        <w:spacing w:line="276" w:lineRule="auto"/>
        <w:jc w:val="both"/>
        <w:rPr>
          <w:rFonts w:ascii="Century Gothic" w:hAnsi="Century Gothic" w:cs="Arial"/>
        </w:rPr>
      </w:pPr>
    </w:p>
    <w:p w14:paraId="6C9FA0BC" w14:textId="03B4F517" w:rsidR="001341EC" w:rsidRPr="002D6F59" w:rsidRDefault="00BC121A" w:rsidP="00B17AB2">
      <w:pPr>
        <w:pStyle w:val="Prrafodelista"/>
        <w:numPr>
          <w:ilvl w:val="0"/>
          <w:numId w:val="46"/>
        </w:numPr>
        <w:jc w:val="both"/>
        <w:rPr>
          <w:rFonts w:ascii="Century Gothic" w:hAnsi="Century Gothic" w:cs="Arial"/>
          <w:b/>
          <w:bCs/>
          <w:smallCaps/>
          <w:sz w:val="24"/>
          <w:szCs w:val="24"/>
        </w:rPr>
      </w:pPr>
      <w:r w:rsidRPr="002D6F59">
        <w:rPr>
          <w:rFonts w:ascii="Century Gothic" w:hAnsi="Century Gothic" w:cs="Arial"/>
          <w:b/>
          <w:bCs/>
          <w:smallCaps/>
          <w:sz w:val="24"/>
          <w:szCs w:val="24"/>
        </w:rPr>
        <w:t>LOS DELITOS SEXUALES CONTRA MENORES TIENEN UN ALTO NIVEL DE REINCIDENCIA EN COLOMBIA</w:t>
      </w:r>
      <w:r w:rsidR="001D1CAB" w:rsidRPr="002D6F59">
        <w:rPr>
          <w:rFonts w:ascii="Century Gothic" w:hAnsi="Century Gothic" w:cs="Arial"/>
          <w:b/>
          <w:bCs/>
          <w:smallCaps/>
          <w:sz w:val="24"/>
          <w:szCs w:val="24"/>
        </w:rPr>
        <w:t>.</w:t>
      </w:r>
    </w:p>
    <w:p w14:paraId="3B3953DE" w14:textId="02DE5718" w:rsidR="005627A0" w:rsidRDefault="00BC121A" w:rsidP="00B17AB2">
      <w:pPr>
        <w:spacing w:line="276" w:lineRule="auto"/>
        <w:jc w:val="both"/>
        <w:rPr>
          <w:rFonts w:ascii="Century Gothic" w:hAnsi="Century Gothic" w:cs="Arial"/>
          <w:lang w:val="es-CO"/>
        </w:rPr>
      </w:pPr>
      <w:r w:rsidRPr="002D6F59">
        <w:rPr>
          <w:rFonts w:ascii="Century Gothic" w:hAnsi="Century Gothic" w:cs="Arial"/>
          <w:lang w:val="es-CO"/>
        </w:rPr>
        <w:t>Lo primero que debe tenerse en cuenta es que los ingresos al Sistema Penitenciario y Carcelario en los últimos 10 años por delitos sexuales contra menores de 18 años</w:t>
      </w:r>
      <w:r w:rsidR="001D1CAB" w:rsidRPr="002D6F59">
        <w:rPr>
          <w:rFonts w:ascii="Century Gothic" w:hAnsi="Century Gothic" w:cs="Arial"/>
          <w:lang w:val="es-CO"/>
        </w:rPr>
        <w:t>,</w:t>
      </w:r>
      <w:r w:rsidRPr="002D6F59">
        <w:rPr>
          <w:rFonts w:ascii="Century Gothic" w:hAnsi="Century Gothic" w:cs="Arial"/>
          <w:lang w:val="es-CO"/>
        </w:rPr>
        <w:t xml:space="preserve"> han aumentado, como se muestra a continuación:</w:t>
      </w:r>
    </w:p>
    <w:p w14:paraId="05327E3A" w14:textId="5325C46F" w:rsidR="001341EC" w:rsidRPr="002D6F59" w:rsidRDefault="001341EC" w:rsidP="00B17AB2">
      <w:pPr>
        <w:spacing w:line="276" w:lineRule="auto"/>
        <w:jc w:val="both"/>
        <w:rPr>
          <w:rFonts w:ascii="Century Gothic" w:hAnsi="Century Gothic" w:cs="Arial"/>
          <w:lang w:val="es-CO"/>
        </w:rPr>
      </w:pPr>
    </w:p>
    <w:p w14:paraId="7DC8BEC0" w14:textId="2BE2ABC9" w:rsidR="001341EC" w:rsidRPr="002D6F59" w:rsidRDefault="001341EC" w:rsidP="00B17AB2">
      <w:pPr>
        <w:spacing w:line="276" w:lineRule="auto"/>
        <w:jc w:val="both"/>
        <w:rPr>
          <w:rFonts w:ascii="Century Gothic" w:hAnsi="Century Gothic" w:cs="Arial"/>
          <w:lang w:val="es-CO"/>
        </w:rPr>
      </w:pPr>
    </w:p>
    <w:p w14:paraId="50772F2B" w14:textId="032BB83D" w:rsidR="001341EC" w:rsidRPr="005627A0" w:rsidRDefault="005627A0" w:rsidP="005627A0">
      <w:pPr>
        <w:jc w:val="center"/>
        <w:rPr>
          <w:rFonts w:ascii="Century Gothic" w:hAnsi="Century Gothic" w:cs="Arial"/>
          <w:lang w:val="es-CO"/>
        </w:rPr>
      </w:pPr>
      <w:r w:rsidRPr="002D6F59">
        <w:rPr>
          <w:rFonts w:ascii="Century Gothic" w:hAnsi="Century Gothic" w:cs="Arial"/>
          <w:noProof/>
          <w:lang w:val="es-CO" w:eastAsia="es-CO"/>
        </w:rPr>
        <w:lastRenderedPageBreak/>
        <w:drawing>
          <wp:anchor distT="0" distB="0" distL="114300" distR="114300" simplePos="0" relativeHeight="251664384" behindDoc="0" locked="0" layoutInCell="1" allowOverlap="1" wp14:anchorId="29BA35DB" wp14:editId="2E5624E4">
            <wp:simplePos x="0" y="0"/>
            <wp:positionH relativeFrom="margin">
              <wp:posOffset>274955</wp:posOffset>
            </wp:positionH>
            <wp:positionV relativeFrom="paragraph">
              <wp:posOffset>0</wp:posOffset>
            </wp:positionV>
            <wp:extent cx="5208905" cy="1798320"/>
            <wp:effectExtent l="0" t="0" r="0" b="0"/>
            <wp:wrapSquare wrapText="bothSides"/>
            <wp:docPr id="18" name="Imagen 1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905" cy="1798320"/>
                    </a:xfrm>
                    <a:prstGeom prst="rect">
                      <a:avLst/>
                    </a:prstGeom>
                    <a:noFill/>
                  </pic:spPr>
                </pic:pic>
              </a:graphicData>
            </a:graphic>
            <wp14:sizeRelH relativeFrom="margin">
              <wp14:pctWidth>0</wp14:pctWidth>
            </wp14:sizeRelH>
            <wp14:sizeRelV relativeFrom="margin">
              <wp14:pctHeight>0</wp14:pctHeight>
            </wp14:sizeRelV>
          </wp:anchor>
        </w:drawing>
      </w:r>
      <w:r w:rsidR="001341EC" w:rsidRPr="002D6F59">
        <w:rPr>
          <w:rFonts w:ascii="Century Gothic" w:hAnsi="Century Gothic" w:cs="Arial"/>
          <w:sz w:val="18"/>
          <w:szCs w:val="18"/>
          <w:lang w:val="es-CO"/>
        </w:rPr>
        <w:t>Fuente: Sisipec - INPEC. Valores consolidados a 8 de agosto de 2019</w:t>
      </w:r>
    </w:p>
    <w:p w14:paraId="6A25D41A" w14:textId="77777777" w:rsidR="005627A0" w:rsidRPr="002D6F59" w:rsidRDefault="005627A0" w:rsidP="00B17AB2">
      <w:pPr>
        <w:spacing w:line="276" w:lineRule="auto"/>
        <w:jc w:val="center"/>
        <w:rPr>
          <w:rFonts w:ascii="Century Gothic" w:hAnsi="Century Gothic" w:cs="Arial"/>
          <w:sz w:val="18"/>
          <w:szCs w:val="18"/>
          <w:lang w:val="es-CO"/>
        </w:rPr>
      </w:pPr>
    </w:p>
    <w:p w14:paraId="13B305E6" w14:textId="3A77C56B" w:rsidR="00BC121A" w:rsidRDefault="001D1CAB" w:rsidP="00B17AB2">
      <w:pPr>
        <w:spacing w:line="276" w:lineRule="auto"/>
        <w:jc w:val="both"/>
        <w:rPr>
          <w:rFonts w:ascii="Century Gothic" w:hAnsi="Century Gothic" w:cs="Arial"/>
          <w:lang w:val="es-CO"/>
        </w:rPr>
      </w:pPr>
      <w:r w:rsidRPr="002D6F59">
        <w:rPr>
          <w:rFonts w:ascii="Century Gothic" w:hAnsi="Century Gothic" w:cs="Arial"/>
          <w:lang w:val="es-CO"/>
        </w:rPr>
        <w:t>Pero e</w:t>
      </w:r>
      <w:r w:rsidR="00BC121A" w:rsidRPr="002D6F59">
        <w:rPr>
          <w:rFonts w:ascii="Century Gothic" w:hAnsi="Century Gothic" w:cs="Arial"/>
          <w:lang w:val="es-CO"/>
        </w:rPr>
        <w:t xml:space="preserve">n lo que atañe a las cifras de reincidencia, entendida como reingreso al Sistema Penitenciario y Carcelario, encontramos que del total de población privada de la libertad (PPL) por delitos sexuales contra niños, niñas y adolescentes, cerca del 9% es reincidente: </w:t>
      </w:r>
    </w:p>
    <w:p w14:paraId="1FDD6C5F" w14:textId="77777777" w:rsidR="005627A0" w:rsidRPr="002D6F59" w:rsidRDefault="005627A0" w:rsidP="005627A0">
      <w:pPr>
        <w:jc w:val="both"/>
        <w:rPr>
          <w:rFonts w:ascii="Century Gothic" w:hAnsi="Century Gothic" w:cs="Arial"/>
          <w:lang w:val="es-CO"/>
        </w:rPr>
      </w:pPr>
    </w:p>
    <w:p w14:paraId="55F5F8BC" w14:textId="77777777" w:rsidR="00BC121A" w:rsidRPr="002D6F59" w:rsidRDefault="00BC121A" w:rsidP="00B17AB2">
      <w:pPr>
        <w:spacing w:line="276" w:lineRule="auto"/>
        <w:jc w:val="both"/>
        <w:rPr>
          <w:rFonts w:ascii="Century Gothic" w:hAnsi="Century Gothic" w:cs="Arial"/>
          <w:lang w:val="es-CO"/>
        </w:rPr>
      </w:pPr>
      <w:r w:rsidRPr="002D6F59">
        <w:rPr>
          <w:rFonts w:ascii="Century Gothic" w:hAnsi="Century Gothic" w:cs="Arial"/>
          <w:noProof/>
          <w:lang w:val="es-CO" w:eastAsia="es-CO"/>
        </w:rPr>
        <w:drawing>
          <wp:anchor distT="0" distB="0" distL="114300" distR="114300" simplePos="0" relativeHeight="251659264" behindDoc="0" locked="0" layoutInCell="1" allowOverlap="1" wp14:anchorId="2FCCE82E" wp14:editId="558BC98A">
            <wp:simplePos x="0" y="0"/>
            <wp:positionH relativeFrom="margin">
              <wp:posOffset>366395</wp:posOffset>
            </wp:positionH>
            <wp:positionV relativeFrom="paragraph">
              <wp:posOffset>53340</wp:posOffset>
            </wp:positionV>
            <wp:extent cx="5123815" cy="1657350"/>
            <wp:effectExtent l="0" t="0" r="635" b="0"/>
            <wp:wrapNone/>
            <wp:docPr id="19" name="Imagen 1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3892" cy="1657375"/>
                    </a:xfrm>
                    <a:prstGeom prst="rect">
                      <a:avLst/>
                    </a:prstGeom>
                    <a:noFill/>
                  </pic:spPr>
                </pic:pic>
              </a:graphicData>
            </a:graphic>
            <wp14:sizeRelH relativeFrom="margin">
              <wp14:pctWidth>0</wp14:pctWidth>
            </wp14:sizeRelH>
            <wp14:sizeRelV relativeFrom="margin">
              <wp14:pctHeight>0</wp14:pctHeight>
            </wp14:sizeRelV>
          </wp:anchor>
        </w:drawing>
      </w:r>
    </w:p>
    <w:p w14:paraId="58541644" w14:textId="77777777" w:rsidR="00BC121A" w:rsidRPr="002D6F59" w:rsidRDefault="00BC121A" w:rsidP="00B17AB2">
      <w:pPr>
        <w:spacing w:line="276" w:lineRule="auto"/>
        <w:jc w:val="both"/>
        <w:rPr>
          <w:rFonts w:ascii="Century Gothic" w:hAnsi="Century Gothic" w:cs="Arial"/>
          <w:lang w:val="es-CO"/>
        </w:rPr>
      </w:pPr>
    </w:p>
    <w:p w14:paraId="2CE723F8" w14:textId="77777777" w:rsidR="00BC121A" w:rsidRPr="002D6F59" w:rsidRDefault="00BC121A" w:rsidP="00B17AB2">
      <w:pPr>
        <w:spacing w:line="276" w:lineRule="auto"/>
        <w:jc w:val="both"/>
        <w:rPr>
          <w:rFonts w:ascii="Century Gothic" w:hAnsi="Century Gothic" w:cs="Arial"/>
          <w:lang w:val="es-CO"/>
        </w:rPr>
      </w:pPr>
    </w:p>
    <w:p w14:paraId="3A5B9ED6" w14:textId="77777777" w:rsidR="00BC121A" w:rsidRPr="002D6F59" w:rsidRDefault="00BC121A" w:rsidP="00B17AB2">
      <w:pPr>
        <w:spacing w:line="276" w:lineRule="auto"/>
        <w:jc w:val="both"/>
        <w:rPr>
          <w:rFonts w:ascii="Century Gothic" w:hAnsi="Century Gothic" w:cs="Arial"/>
          <w:lang w:val="es-CO"/>
        </w:rPr>
      </w:pPr>
    </w:p>
    <w:p w14:paraId="67E944FE" w14:textId="77777777" w:rsidR="00BC121A" w:rsidRPr="002D6F59" w:rsidRDefault="00BC121A" w:rsidP="00B17AB2">
      <w:pPr>
        <w:spacing w:line="276" w:lineRule="auto"/>
        <w:jc w:val="both"/>
        <w:rPr>
          <w:rFonts w:ascii="Century Gothic" w:hAnsi="Century Gothic" w:cs="Arial"/>
          <w:lang w:val="es-CO"/>
        </w:rPr>
      </w:pPr>
    </w:p>
    <w:p w14:paraId="7B08A886" w14:textId="77777777" w:rsidR="00BC121A" w:rsidRPr="002D6F59" w:rsidRDefault="00BC121A" w:rsidP="00B17AB2">
      <w:pPr>
        <w:spacing w:line="276" w:lineRule="auto"/>
        <w:jc w:val="both"/>
        <w:rPr>
          <w:rFonts w:ascii="Century Gothic" w:hAnsi="Century Gothic" w:cs="Arial"/>
          <w:lang w:val="es-CO"/>
        </w:rPr>
      </w:pPr>
    </w:p>
    <w:p w14:paraId="16361E3C" w14:textId="77777777" w:rsidR="00BC121A" w:rsidRPr="002D6F59" w:rsidRDefault="00BC121A" w:rsidP="00B17AB2">
      <w:pPr>
        <w:spacing w:line="276" w:lineRule="auto"/>
        <w:jc w:val="both"/>
        <w:rPr>
          <w:rFonts w:ascii="Century Gothic" w:hAnsi="Century Gothic" w:cs="Arial"/>
          <w:lang w:val="es-CO"/>
        </w:rPr>
      </w:pPr>
    </w:p>
    <w:p w14:paraId="35329985" w14:textId="77777777" w:rsidR="00BC121A" w:rsidRPr="002D6F59" w:rsidRDefault="00BC121A" w:rsidP="00B17AB2">
      <w:pPr>
        <w:spacing w:line="276" w:lineRule="auto"/>
        <w:jc w:val="both"/>
        <w:rPr>
          <w:rFonts w:ascii="Century Gothic" w:hAnsi="Century Gothic" w:cs="Arial"/>
          <w:lang w:val="es-CO"/>
        </w:rPr>
      </w:pPr>
    </w:p>
    <w:p w14:paraId="4C1B15C9" w14:textId="3F47A452" w:rsidR="00BC121A" w:rsidRPr="002D6F59" w:rsidRDefault="00BC121A" w:rsidP="005627A0">
      <w:pPr>
        <w:spacing w:line="276" w:lineRule="auto"/>
        <w:jc w:val="center"/>
        <w:rPr>
          <w:rFonts w:ascii="Century Gothic" w:hAnsi="Century Gothic" w:cs="Arial"/>
          <w:sz w:val="18"/>
          <w:szCs w:val="18"/>
          <w:lang w:val="es-CO"/>
        </w:rPr>
      </w:pPr>
      <w:r w:rsidRPr="002D6F59">
        <w:rPr>
          <w:rFonts w:ascii="Century Gothic" w:hAnsi="Century Gothic" w:cs="Arial"/>
          <w:sz w:val="18"/>
          <w:szCs w:val="18"/>
          <w:lang w:val="es-CO"/>
        </w:rPr>
        <w:t>Fuente: Sisipec - INPEC. Valores consolidados a 8 de agosto de 2019</w:t>
      </w:r>
    </w:p>
    <w:p w14:paraId="4896B590" w14:textId="77777777" w:rsidR="008F6461" w:rsidRPr="002D6F59" w:rsidRDefault="008F6461" w:rsidP="00B17AB2">
      <w:pPr>
        <w:spacing w:line="276" w:lineRule="auto"/>
        <w:jc w:val="center"/>
        <w:rPr>
          <w:rFonts w:ascii="Century Gothic" w:hAnsi="Century Gothic" w:cs="Arial"/>
          <w:sz w:val="18"/>
          <w:szCs w:val="18"/>
          <w:lang w:val="es-CO"/>
        </w:rPr>
      </w:pPr>
    </w:p>
    <w:p w14:paraId="471E284A" w14:textId="5831E9DA" w:rsidR="00BC121A" w:rsidRPr="002D6F59" w:rsidRDefault="00BC121A" w:rsidP="00B17AB2">
      <w:pPr>
        <w:spacing w:line="276" w:lineRule="auto"/>
        <w:jc w:val="both"/>
        <w:rPr>
          <w:rFonts w:ascii="Century Gothic" w:hAnsi="Century Gothic" w:cs="Arial"/>
          <w:lang w:val="es-CO"/>
        </w:rPr>
      </w:pPr>
      <w:r w:rsidRPr="002D6F59">
        <w:rPr>
          <w:rFonts w:ascii="Century Gothic" w:hAnsi="Century Gothic" w:cs="Arial"/>
          <w:lang w:val="es-CO"/>
        </w:rPr>
        <w:t>En relación con el total de población reincidente, que es de 19.226 por todos los delitos en el Sistema Penitenciario y Carcelario, las personas que presentan reincidencia por delitos sexuales contra niños, niñas y adolescentes representan el 6,47%:</w:t>
      </w:r>
      <w:r w:rsidR="001D1CAB" w:rsidRPr="002D6F59">
        <w:rPr>
          <w:rFonts w:ascii="Century Gothic" w:hAnsi="Century Gothic" w:cs="Arial"/>
          <w:lang w:val="es-CO"/>
        </w:rPr>
        <w:t xml:space="preserve"> </w:t>
      </w:r>
    </w:p>
    <w:p w14:paraId="6AFC786B" w14:textId="6DDE09AC" w:rsidR="00BC121A" w:rsidRPr="002D6F59" w:rsidRDefault="001D1CAB" w:rsidP="00B17AB2">
      <w:pPr>
        <w:spacing w:line="276" w:lineRule="auto"/>
        <w:jc w:val="both"/>
        <w:rPr>
          <w:rFonts w:ascii="Century Gothic" w:hAnsi="Century Gothic" w:cs="Arial"/>
          <w:lang w:val="es-CO"/>
        </w:rPr>
      </w:pPr>
      <w:r w:rsidRPr="002D6F59">
        <w:rPr>
          <w:rFonts w:ascii="Century Gothic" w:hAnsi="Century Gothic" w:cs="Arial"/>
          <w:noProof/>
          <w:lang w:val="es-CO" w:eastAsia="es-CO"/>
        </w:rPr>
        <w:drawing>
          <wp:anchor distT="0" distB="0" distL="114300" distR="114300" simplePos="0" relativeHeight="251662336" behindDoc="0" locked="0" layoutInCell="1" allowOverlap="1" wp14:anchorId="43030B0E" wp14:editId="43979D58">
            <wp:simplePos x="0" y="0"/>
            <wp:positionH relativeFrom="column">
              <wp:posOffset>214937</wp:posOffset>
            </wp:positionH>
            <wp:positionV relativeFrom="paragraph">
              <wp:posOffset>138835</wp:posOffset>
            </wp:positionV>
            <wp:extent cx="5290185" cy="1728316"/>
            <wp:effectExtent l="0" t="0" r="5715" b="5715"/>
            <wp:wrapNone/>
            <wp:docPr id="14" name="Imagen 1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8177" cy="1747262"/>
                    </a:xfrm>
                    <a:prstGeom prst="rect">
                      <a:avLst/>
                    </a:prstGeom>
                    <a:noFill/>
                  </pic:spPr>
                </pic:pic>
              </a:graphicData>
            </a:graphic>
            <wp14:sizeRelH relativeFrom="margin">
              <wp14:pctWidth>0</wp14:pctWidth>
            </wp14:sizeRelH>
            <wp14:sizeRelV relativeFrom="margin">
              <wp14:pctHeight>0</wp14:pctHeight>
            </wp14:sizeRelV>
          </wp:anchor>
        </w:drawing>
      </w:r>
    </w:p>
    <w:p w14:paraId="72A4A365" w14:textId="77777777" w:rsidR="00BC121A" w:rsidRPr="002D6F59" w:rsidRDefault="00BC121A" w:rsidP="00B17AB2">
      <w:pPr>
        <w:spacing w:line="276" w:lineRule="auto"/>
        <w:jc w:val="both"/>
        <w:rPr>
          <w:rFonts w:ascii="Century Gothic" w:hAnsi="Century Gothic" w:cs="Arial"/>
          <w:lang w:val="es-CO"/>
        </w:rPr>
      </w:pPr>
    </w:p>
    <w:p w14:paraId="311D43B7" w14:textId="2AD2A3AE" w:rsidR="00BC121A" w:rsidRPr="002D6F59" w:rsidRDefault="00BC121A" w:rsidP="00B17AB2">
      <w:pPr>
        <w:spacing w:line="276" w:lineRule="auto"/>
        <w:jc w:val="both"/>
        <w:rPr>
          <w:rFonts w:ascii="Century Gothic" w:hAnsi="Century Gothic" w:cs="Arial"/>
          <w:lang w:val="es-CO"/>
        </w:rPr>
      </w:pPr>
    </w:p>
    <w:p w14:paraId="4ABB9E38" w14:textId="77777777" w:rsidR="00BC121A" w:rsidRPr="002D6F59" w:rsidRDefault="00BC121A" w:rsidP="00B17AB2">
      <w:pPr>
        <w:spacing w:line="276" w:lineRule="auto"/>
        <w:jc w:val="both"/>
        <w:rPr>
          <w:rFonts w:ascii="Century Gothic" w:hAnsi="Century Gothic" w:cs="Arial"/>
          <w:lang w:val="es-CO"/>
        </w:rPr>
      </w:pPr>
    </w:p>
    <w:p w14:paraId="1AB1A2E9" w14:textId="77777777" w:rsidR="00BC121A" w:rsidRPr="002D6F59" w:rsidRDefault="00BC121A" w:rsidP="00B17AB2">
      <w:pPr>
        <w:spacing w:line="276" w:lineRule="auto"/>
        <w:jc w:val="both"/>
        <w:rPr>
          <w:rFonts w:ascii="Century Gothic" w:hAnsi="Century Gothic" w:cs="Arial"/>
          <w:lang w:val="es-CO"/>
        </w:rPr>
      </w:pPr>
    </w:p>
    <w:p w14:paraId="2BC392F2" w14:textId="77777777" w:rsidR="00BC121A" w:rsidRPr="002D6F59" w:rsidRDefault="00BC121A" w:rsidP="00B17AB2">
      <w:pPr>
        <w:spacing w:line="276" w:lineRule="auto"/>
        <w:jc w:val="both"/>
        <w:rPr>
          <w:rFonts w:ascii="Century Gothic" w:hAnsi="Century Gothic" w:cs="Arial"/>
          <w:lang w:val="es-CO"/>
        </w:rPr>
      </w:pPr>
    </w:p>
    <w:p w14:paraId="08E920A3" w14:textId="77777777" w:rsidR="00BC121A" w:rsidRPr="002D6F59" w:rsidRDefault="00BC121A" w:rsidP="00B17AB2">
      <w:pPr>
        <w:spacing w:line="276" w:lineRule="auto"/>
        <w:jc w:val="both"/>
        <w:rPr>
          <w:rFonts w:ascii="Century Gothic" w:hAnsi="Century Gothic" w:cs="Arial"/>
          <w:lang w:val="es-CO"/>
        </w:rPr>
      </w:pPr>
    </w:p>
    <w:p w14:paraId="30A23E07" w14:textId="4806F7F6" w:rsidR="00BC121A" w:rsidRDefault="00BC121A" w:rsidP="00B17AB2">
      <w:pPr>
        <w:spacing w:line="276" w:lineRule="auto"/>
        <w:jc w:val="both"/>
        <w:rPr>
          <w:rFonts w:ascii="Century Gothic" w:hAnsi="Century Gothic" w:cs="Arial"/>
          <w:lang w:val="es-CO"/>
        </w:rPr>
      </w:pPr>
    </w:p>
    <w:p w14:paraId="4E637F2B" w14:textId="77777777" w:rsidR="005627A0" w:rsidRPr="002D6F59" w:rsidRDefault="005627A0" w:rsidP="005627A0">
      <w:pPr>
        <w:jc w:val="both"/>
        <w:rPr>
          <w:rFonts w:ascii="Century Gothic" w:hAnsi="Century Gothic" w:cs="Arial"/>
          <w:lang w:val="es-CO"/>
        </w:rPr>
      </w:pPr>
    </w:p>
    <w:p w14:paraId="365575B8" w14:textId="72CDF92E" w:rsidR="00BC121A" w:rsidRPr="002D6F59" w:rsidRDefault="00BC121A" w:rsidP="005627A0">
      <w:pPr>
        <w:spacing w:line="276" w:lineRule="auto"/>
        <w:jc w:val="center"/>
        <w:rPr>
          <w:rFonts w:ascii="Century Gothic" w:hAnsi="Century Gothic" w:cs="Arial"/>
          <w:sz w:val="18"/>
          <w:szCs w:val="18"/>
          <w:lang w:val="es-CO"/>
        </w:rPr>
      </w:pPr>
      <w:r w:rsidRPr="002D6F59">
        <w:rPr>
          <w:rFonts w:ascii="Century Gothic" w:hAnsi="Century Gothic" w:cs="Arial"/>
          <w:sz w:val="18"/>
          <w:szCs w:val="18"/>
          <w:lang w:val="es-CO"/>
        </w:rPr>
        <w:t>Fuente: Sisipec - INPEC. Valores consolidados a 8 de agosto de 2019</w:t>
      </w:r>
    </w:p>
    <w:p w14:paraId="0791D27D" w14:textId="6867B07E" w:rsidR="00BC121A" w:rsidRDefault="00BC121A" w:rsidP="00B17AB2">
      <w:pPr>
        <w:spacing w:line="276" w:lineRule="auto"/>
        <w:jc w:val="both"/>
        <w:rPr>
          <w:rFonts w:ascii="Century Gothic" w:hAnsi="Century Gothic" w:cs="Arial"/>
          <w:lang w:val="es-CO"/>
        </w:rPr>
      </w:pPr>
      <w:r w:rsidRPr="002D6F59">
        <w:rPr>
          <w:rFonts w:ascii="Century Gothic" w:hAnsi="Century Gothic" w:cs="Arial"/>
          <w:lang w:val="es-CO"/>
        </w:rPr>
        <w:lastRenderedPageBreak/>
        <w:t xml:space="preserve">Los mayores índices de ingreso a los establecimientos de reclusión de las personas reincidentes por delitos sexuales contra menores de 18 años se han presentado en 2018, con un aumento significativo respecto del año anterior, como se muestra a continuación: </w:t>
      </w:r>
    </w:p>
    <w:p w14:paraId="6CEABDE4" w14:textId="77777777" w:rsidR="00FF562B" w:rsidRPr="002D6F59" w:rsidRDefault="00FF562B" w:rsidP="00FF562B">
      <w:pPr>
        <w:jc w:val="both"/>
        <w:rPr>
          <w:rFonts w:ascii="Century Gothic" w:hAnsi="Century Gothic" w:cs="Arial"/>
          <w:lang w:val="es-CO"/>
        </w:rPr>
      </w:pPr>
    </w:p>
    <w:p w14:paraId="0044B332" w14:textId="77777777" w:rsidR="00BC121A" w:rsidRPr="002D6F59" w:rsidRDefault="00BC121A" w:rsidP="00B17AB2">
      <w:pPr>
        <w:spacing w:line="276" w:lineRule="auto"/>
        <w:jc w:val="both"/>
        <w:rPr>
          <w:rFonts w:ascii="Century Gothic" w:hAnsi="Century Gothic" w:cs="Arial"/>
          <w:lang w:val="es-CO"/>
        </w:rPr>
      </w:pPr>
      <w:r w:rsidRPr="002D6F59">
        <w:rPr>
          <w:rFonts w:ascii="Century Gothic" w:hAnsi="Century Gothic" w:cs="Arial"/>
          <w:noProof/>
          <w:lang w:val="es-CO" w:eastAsia="es-CO"/>
        </w:rPr>
        <w:drawing>
          <wp:anchor distT="0" distB="0" distL="114300" distR="114300" simplePos="0" relativeHeight="251661312" behindDoc="0" locked="0" layoutInCell="1" allowOverlap="1" wp14:anchorId="39186241" wp14:editId="7E2D66DB">
            <wp:simplePos x="0" y="0"/>
            <wp:positionH relativeFrom="margin">
              <wp:posOffset>255130</wp:posOffset>
            </wp:positionH>
            <wp:positionV relativeFrom="paragraph">
              <wp:posOffset>50765</wp:posOffset>
            </wp:positionV>
            <wp:extent cx="5363210" cy="1597688"/>
            <wp:effectExtent l="0" t="0" r="889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7936" cy="1631865"/>
                    </a:xfrm>
                    <a:prstGeom prst="rect">
                      <a:avLst/>
                    </a:prstGeom>
                    <a:noFill/>
                  </pic:spPr>
                </pic:pic>
              </a:graphicData>
            </a:graphic>
            <wp14:sizeRelH relativeFrom="margin">
              <wp14:pctWidth>0</wp14:pctWidth>
            </wp14:sizeRelH>
            <wp14:sizeRelV relativeFrom="margin">
              <wp14:pctHeight>0</wp14:pctHeight>
            </wp14:sizeRelV>
          </wp:anchor>
        </w:drawing>
      </w:r>
    </w:p>
    <w:p w14:paraId="669B37F7" w14:textId="77777777" w:rsidR="00BC121A" w:rsidRPr="002D6F59" w:rsidRDefault="00BC121A" w:rsidP="00B17AB2">
      <w:pPr>
        <w:spacing w:line="276" w:lineRule="auto"/>
        <w:jc w:val="both"/>
        <w:rPr>
          <w:rFonts w:ascii="Century Gothic" w:hAnsi="Century Gothic" w:cs="Arial"/>
          <w:lang w:val="es-CO"/>
        </w:rPr>
      </w:pPr>
    </w:p>
    <w:p w14:paraId="6BBEDE6A" w14:textId="77777777" w:rsidR="00BC121A" w:rsidRPr="002D6F59" w:rsidRDefault="00BC121A" w:rsidP="00B17AB2">
      <w:pPr>
        <w:spacing w:line="276" w:lineRule="auto"/>
        <w:jc w:val="both"/>
        <w:rPr>
          <w:rFonts w:ascii="Century Gothic" w:hAnsi="Century Gothic" w:cs="Arial"/>
          <w:lang w:val="es-CO"/>
        </w:rPr>
      </w:pPr>
    </w:p>
    <w:p w14:paraId="14676F03" w14:textId="77777777" w:rsidR="00BC121A" w:rsidRPr="002D6F59" w:rsidRDefault="00BC121A" w:rsidP="00B17AB2">
      <w:pPr>
        <w:spacing w:line="276" w:lineRule="auto"/>
        <w:jc w:val="both"/>
        <w:rPr>
          <w:rFonts w:ascii="Century Gothic" w:hAnsi="Century Gothic" w:cs="Arial"/>
          <w:lang w:val="es-CO"/>
        </w:rPr>
      </w:pPr>
    </w:p>
    <w:p w14:paraId="5F1A8C25" w14:textId="77777777" w:rsidR="00BC121A" w:rsidRPr="002D6F59" w:rsidRDefault="00BC121A" w:rsidP="00B17AB2">
      <w:pPr>
        <w:spacing w:line="276" w:lineRule="auto"/>
        <w:jc w:val="both"/>
        <w:rPr>
          <w:rFonts w:ascii="Century Gothic" w:hAnsi="Century Gothic" w:cs="Arial"/>
          <w:lang w:val="es-CO"/>
        </w:rPr>
      </w:pPr>
    </w:p>
    <w:p w14:paraId="187F6147" w14:textId="77777777" w:rsidR="00BC121A" w:rsidRPr="002D6F59" w:rsidRDefault="00BC121A" w:rsidP="00B17AB2">
      <w:pPr>
        <w:spacing w:line="276" w:lineRule="auto"/>
        <w:jc w:val="both"/>
        <w:rPr>
          <w:rFonts w:ascii="Century Gothic" w:hAnsi="Century Gothic" w:cs="Arial"/>
          <w:lang w:val="es-CO"/>
        </w:rPr>
      </w:pPr>
    </w:p>
    <w:p w14:paraId="69C3A19B" w14:textId="77777777" w:rsidR="00BC121A" w:rsidRPr="002D6F59" w:rsidRDefault="00BC121A" w:rsidP="00B17AB2">
      <w:pPr>
        <w:spacing w:line="276" w:lineRule="auto"/>
        <w:jc w:val="both"/>
        <w:rPr>
          <w:rFonts w:ascii="Century Gothic" w:hAnsi="Century Gothic" w:cs="Arial"/>
          <w:lang w:val="es-CO"/>
        </w:rPr>
      </w:pPr>
    </w:p>
    <w:p w14:paraId="7A951A80" w14:textId="77777777" w:rsidR="00FF562B" w:rsidRDefault="00FF562B" w:rsidP="00FF562B">
      <w:pPr>
        <w:spacing w:line="276" w:lineRule="auto"/>
        <w:jc w:val="center"/>
        <w:rPr>
          <w:rFonts w:ascii="Century Gothic" w:hAnsi="Century Gothic" w:cs="Arial"/>
          <w:sz w:val="18"/>
          <w:szCs w:val="18"/>
          <w:lang w:val="es-CO"/>
        </w:rPr>
      </w:pPr>
    </w:p>
    <w:p w14:paraId="00AE0E5A" w14:textId="76B0E02D" w:rsidR="00BC121A" w:rsidRDefault="00BC121A" w:rsidP="00FF562B">
      <w:pPr>
        <w:spacing w:line="276" w:lineRule="auto"/>
        <w:jc w:val="center"/>
        <w:rPr>
          <w:rFonts w:ascii="Century Gothic" w:hAnsi="Century Gothic" w:cs="Arial"/>
          <w:sz w:val="18"/>
          <w:szCs w:val="18"/>
          <w:lang w:val="es-CO"/>
        </w:rPr>
      </w:pPr>
      <w:r w:rsidRPr="002D6F59">
        <w:rPr>
          <w:rFonts w:ascii="Century Gothic" w:hAnsi="Century Gothic" w:cs="Arial"/>
          <w:sz w:val="18"/>
          <w:szCs w:val="18"/>
          <w:lang w:val="es-CO"/>
        </w:rPr>
        <w:t>Fuente: Sisipec - INPEC. Valores consolidados a 8 de agosto de 2019</w:t>
      </w:r>
    </w:p>
    <w:p w14:paraId="22ECEF9B" w14:textId="77777777" w:rsidR="00FF562B" w:rsidRPr="002D6F59" w:rsidRDefault="00FF562B" w:rsidP="00FF562B">
      <w:pPr>
        <w:jc w:val="center"/>
        <w:rPr>
          <w:rFonts w:ascii="Century Gothic" w:hAnsi="Century Gothic" w:cs="Arial"/>
          <w:sz w:val="18"/>
          <w:szCs w:val="18"/>
          <w:lang w:val="es-CO"/>
        </w:rPr>
      </w:pPr>
    </w:p>
    <w:p w14:paraId="30694845" w14:textId="054CE560" w:rsidR="00BC121A" w:rsidRPr="002D6F59" w:rsidRDefault="00BC121A" w:rsidP="00B17AB2">
      <w:pPr>
        <w:spacing w:line="276" w:lineRule="auto"/>
        <w:jc w:val="both"/>
        <w:rPr>
          <w:rFonts w:ascii="Century Gothic" w:hAnsi="Century Gothic" w:cs="Arial"/>
          <w:lang w:val="es-CO"/>
        </w:rPr>
      </w:pPr>
      <w:r w:rsidRPr="002D6F59">
        <w:rPr>
          <w:rFonts w:ascii="Century Gothic" w:hAnsi="Century Gothic" w:cs="Arial"/>
          <w:lang w:val="es-CO"/>
        </w:rPr>
        <w:t>En lo que respecta al comportamiento de estos delitos en el año 2019, según reportes de la Policía Nacional, se han presentado 10.212 capturas por delitos sexuales contra niños, niñas y adolescentes, con mayor incidencia en los departamentos de Cundinamarca, Antioquia y Valle del Cauca, así:</w:t>
      </w:r>
    </w:p>
    <w:p w14:paraId="57D2C1DC" w14:textId="792804AF" w:rsidR="00BC121A" w:rsidRPr="002D6F59" w:rsidRDefault="00BC121A" w:rsidP="00B17AB2">
      <w:pPr>
        <w:spacing w:line="276" w:lineRule="auto"/>
        <w:jc w:val="both"/>
        <w:rPr>
          <w:rFonts w:ascii="Century Gothic" w:hAnsi="Century Gothic" w:cs="Arial"/>
          <w:lang w:val="es-CO"/>
        </w:rPr>
      </w:pPr>
    </w:p>
    <w:tbl>
      <w:tblPr>
        <w:tblStyle w:val="Tabladecuadrcula4-nfasis5"/>
        <w:tblW w:w="4957" w:type="dxa"/>
        <w:jc w:val="center"/>
        <w:tblLook w:val="04A0" w:firstRow="1" w:lastRow="0" w:firstColumn="1" w:lastColumn="0" w:noHBand="0" w:noVBand="1"/>
      </w:tblPr>
      <w:tblGrid>
        <w:gridCol w:w="2830"/>
        <w:gridCol w:w="2127"/>
      </w:tblGrid>
      <w:tr w:rsidR="00BC121A" w:rsidRPr="002D6F59" w14:paraId="38D6D931" w14:textId="77777777" w:rsidTr="00067D87">
        <w:trPr>
          <w:cnfStyle w:val="100000000000" w:firstRow="1" w:lastRow="0" w:firstColumn="0" w:lastColumn="0" w:oddVBand="0" w:evenVBand="0" w:oddHBand="0" w:evenHBand="0" w:firstRowFirstColumn="0" w:firstRowLastColumn="0" w:lastRowFirstColumn="0" w:lastRowLastColumn="0"/>
          <w:trHeight w:val="191"/>
          <w:tblHeader/>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B63FC53" w14:textId="77777777" w:rsidR="00BC121A" w:rsidRPr="002D6F59" w:rsidRDefault="00BC121A" w:rsidP="00067D87">
            <w:pPr>
              <w:spacing w:line="276" w:lineRule="auto"/>
              <w:jc w:val="center"/>
              <w:rPr>
                <w:rFonts w:ascii="Century Gothic" w:hAnsi="Century Gothic" w:cs="Arial"/>
                <w:color w:val="auto"/>
                <w:sz w:val="20"/>
                <w:szCs w:val="20"/>
                <w:lang w:val="es-CO"/>
              </w:rPr>
            </w:pPr>
            <w:r w:rsidRPr="002D6F59">
              <w:rPr>
                <w:rFonts w:ascii="Century Gothic" w:hAnsi="Century Gothic" w:cs="Arial"/>
                <w:color w:val="auto"/>
                <w:sz w:val="20"/>
                <w:szCs w:val="20"/>
                <w:lang w:val="es-CO"/>
              </w:rPr>
              <w:t>DEPARTAMENTO</w:t>
            </w:r>
          </w:p>
        </w:tc>
        <w:tc>
          <w:tcPr>
            <w:tcW w:w="2127" w:type="dxa"/>
            <w:noWrap/>
            <w:hideMark/>
          </w:tcPr>
          <w:p w14:paraId="55D3C91A" w14:textId="77777777" w:rsidR="00BC121A" w:rsidRPr="002D6F59" w:rsidRDefault="00BC121A" w:rsidP="00067D87">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2D6F59">
              <w:rPr>
                <w:rFonts w:ascii="Century Gothic" w:hAnsi="Century Gothic" w:cs="Arial"/>
                <w:color w:val="auto"/>
                <w:sz w:val="20"/>
                <w:szCs w:val="20"/>
                <w:lang w:val="es-CO"/>
              </w:rPr>
              <w:t>TOTAL CAPTURAS</w:t>
            </w:r>
          </w:p>
        </w:tc>
      </w:tr>
      <w:tr w:rsidR="00BC121A" w:rsidRPr="002D6F59" w14:paraId="080E819A"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556F21D"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CUNDINAMARCA</w:t>
            </w:r>
          </w:p>
        </w:tc>
        <w:tc>
          <w:tcPr>
            <w:tcW w:w="2127" w:type="dxa"/>
            <w:noWrap/>
            <w:hideMark/>
          </w:tcPr>
          <w:p w14:paraId="1392F6B0"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2249</w:t>
            </w:r>
          </w:p>
        </w:tc>
      </w:tr>
      <w:tr w:rsidR="00BC121A" w:rsidRPr="002D6F59" w14:paraId="01D1EE79"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F8EA53F"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ANTIOQUIA</w:t>
            </w:r>
          </w:p>
        </w:tc>
        <w:tc>
          <w:tcPr>
            <w:tcW w:w="2127" w:type="dxa"/>
            <w:noWrap/>
            <w:hideMark/>
          </w:tcPr>
          <w:p w14:paraId="0E66337D"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1359</w:t>
            </w:r>
          </w:p>
        </w:tc>
      </w:tr>
      <w:tr w:rsidR="00BC121A" w:rsidRPr="002D6F59" w14:paraId="6EF67409"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DB643F0"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VALLE</w:t>
            </w:r>
          </w:p>
        </w:tc>
        <w:tc>
          <w:tcPr>
            <w:tcW w:w="2127" w:type="dxa"/>
            <w:noWrap/>
            <w:hideMark/>
          </w:tcPr>
          <w:p w14:paraId="04593FEF"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977</w:t>
            </w:r>
          </w:p>
        </w:tc>
      </w:tr>
      <w:tr w:rsidR="00BC121A" w:rsidRPr="002D6F59" w14:paraId="72D5AAA6"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FCE70A8"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ATLÁNTICO</w:t>
            </w:r>
          </w:p>
        </w:tc>
        <w:tc>
          <w:tcPr>
            <w:tcW w:w="2127" w:type="dxa"/>
            <w:noWrap/>
            <w:hideMark/>
          </w:tcPr>
          <w:p w14:paraId="2DC4D2BF"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566</w:t>
            </w:r>
          </w:p>
        </w:tc>
      </w:tr>
      <w:tr w:rsidR="00BC121A" w:rsidRPr="002D6F59" w14:paraId="7BEC58F7"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A00842A"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SANTANDER</w:t>
            </w:r>
          </w:p>
        </w:tc>
        <w:tc>
          <w:tcPr>
            <w:tcW w:w="2127" w:type="dxa"/>
            <w:noWrap/>
            <w:hideMark/>
          </w:tcPr>
          <w:p w14:paraId="50DAFB6D"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536</w:t>
            </w:r>
          </w:p>
        </w:tc>
      </w:tr>
      <w:tr w:rsidR="00BC121A" w:rsidRPr="002D6F59" w14:paraId="112294DC"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51DE9CD"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TOLIMA</w:t>
            </w:r>
          </w:p>
        </w:tc>
        <w:tc>
          <w:tcPr>
            <w:tcW w:w="2127" w:type="dxa"/>
            <w:noWrap/>
            <w:hideMark/>
          </w:tcPr>
          <w:p w14:paraId="579F30DE"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401</w:t>
            </w:r>
          </w:p>
        </w:tc>
      </w:tr>
      <w:tr w:rsidR="00BC121A" w:rsidRPr="002D6F59" w14:paraId="10894D6E"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6B57816"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BOLÍVAR</w:t>
            </w:r>
          </w:p>
        </w:tc>
        <w:tc>
          <w:tcPr>
            <w:tcW w:w="2127" w:type="dxa"/>
            <w:noWrap/>
            <w:hideMark/>
          </w:tcPr>
          <w:p w14:paraId="2ACCDEBA"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371</w:t>
            </w:r>
          </w:p>
        </w:tc>
      </w:tr>
      <w:tr w:rsidR="00BC121A" w:rsidRPr="002D6F59" w14:paraId="7365F00F"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E6C2FDA"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HUILA</w:t>
            </w:r>
          </w:p>
        </w:tc>
        <w:tc>
          <w:tcPr>
            <w:tcW w:w="2127" w:type="dxa"/>
            <w:noWrap/>
            <w:hideMark/>
          </w:tcPr>
          <w:p w14:paraId="1774B58F"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342</w:t>
            </w:r>
          </w:p>
        </w:tc>
      </w:tr>
      <w:tr w:rsidR="00BC121A" w:rsidRPr="002D6F59" w14:paraId="4427D4A2"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8B769BC"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CALDAS</w:t>
            </w:r>
          </w:p>
        </w:tc>
        <w:tc>
          <w:tcPr>
            <w:tcW w:w="2127" w:type="dxa"/>
            <w:noWrap/>
            <w:hideMark/>
          </w:tcPr>
          <w:p w14:paraId="1F60158F"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330</w:t>
            </w:r>
          </w:p>
        </w:tc>
      </w:tr>
      <w:tr w:rsidR="00BC121A" w:rsidRPr="002D6F59" w14:paraId="38205101"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71521D8"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RISARALDA</w:t>
            </w:r>
          </w:p>
        </w:tc>
        <w:tc>
          <w:tcPr>
            <w:tcW w:w="2127" w:type="dxa"/>
            <w:noWrap/>
            <w:hideMark/>
          </w:tcPr>
          <w:p w14:paraId="10C030E4"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328</w:t>
            </w:r>
          </w:p>
        </w:tc>
      </w:tr>
      <w:tr w:rsidR="00BC121A" w:rsidRPr="002D6F59" w14:paraId="5500FA6C"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AD0535A"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META</w:t>
            </w:r>
          </w:p>
        </w:tc>
        <w:tc>
          <w:tcPr>
            <w:tcW w:w="2127" w:type="dxa"/>
            <w:noWrap/>
            <w:hideMark/>
          </w:tcPr>
          <w:p w14:paraId="351A822E"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291</w:t>
            </w:r>
          </w:p>
        </w:tc>
      </w:tr>
      <w:tr w:rsidR="00BC121A" w:rsidRPr="002D6F59" w14:paraId="0C0B136D"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193E7AA"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CÓRDOBA</w:t>
            </w:r>
          </w:p>
        </w:tc>
        <w:tc>
          <w:tcPr>
            <w:tcW w:w="2127" w:type="dxa"/>
            <w:noWrap/>
            <w:hideMark/>
          </w:tcPr>
          <w:p w14:paraId="422B23D9"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281</w:t>
            </w:r>
          </w:p>
        </w:tc>
      </w:tr>
      <w:tr w:rsidR="00BC121A" w:rsidRPr="002D6F59" w14:paraId="4525A1E0"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FF4FD0A"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MAGDALENA</w:t>
            </w:r>
          </w:p>
        </w:tc>
        <w:tc>
          <w:tcPr>
            <w:tcW w:w="2127" w:type="dxa"/>
            <w:noWrap/>
            <w:hideMark/>
          </w:tcPr>
          <w:p w14:paraId="149C2434"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246</w:t>
            </w:r>
          </w:p>
        </w:tc>
      </w:tr>
      <w:tr w:rsidR="00BC121A" w:rsidRPr="002D6F59" w14:paraId="40716169"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FBFF70D"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BOYACÁ</w:t>
            </w:r>
          </w:p>
        </w:tc>
        <w:tc>
          <w:tcPr>
            <w:tcW w:w="2127" w:type="dxa"/>
            <w:noWrap/>
            <w:hideMark/>
          </w:tcPr>
          <w:p w14:paraId="12757E0D"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245</w:t>
            </w:r>
          </w:p>
        </w:tc>
      </w:tr>
      <w:tr w:rsidR="00BC121A" w:rsidRPr="002D6F59" w14:paraId="6C081365"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8B2C4D2"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NORTE DE SANTANDER</w:t>
            </w:r>
          </w:p>
        </w:tc>
        <w:tc>
          <w:tcPr>
            <w:tcW w:w="2127" w:type="dxa"/>
            <w:noWrap/>
            <w:hideMark/>
          </w:tcPr>
          <w:p w14:paraId="5D3597A9"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225</w:t>
            </w:r>
          </w:p>
        </w:tc>
      </w:tr>
      <w:tr w:rsidR="00BC121A" w:rsidRPr="002D6F59" w14:paraId="3DA5D2DB"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DD0434"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CAUCA</w:t>
            </w:r>
          </w:p>
        </w:tc>
        <w:tc>
          <w:tcPr>
            <w:tcW w:w="2127" w:type="dxa"/>
            <w:noWrap/>
            <w:hideMark/>
          </w:tcPr>
          <w:p w14:paraId="15F6F1C5"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220</w:t>
            </w:r>
          </w:p>
        </w:tc>
      </w:tr>
      <w:tr w:rsidR="00BC121A" w:rsidRPr="002D6F59" w14:paraId="002D447E"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D96EF8E"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CESAR</w:t>
            </w:r>
          </w:p>
        </w:tc>
        <w:tc>
          <w:tcPr>
            <w:tcW w:w="2127" w:type="dxa"/>
            <w:noWrap/>
            <w:hideMark/>
          </w:tcPr>
          <w:p w14:paraId="4270E5D0"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203</w:t>
            </w:r>
          </w:p>
        </w:tc>
      </w:tr>
      <w:tr w:rsidR="00BC121A" w:rsidRPr="002D6F59" w14:paraId="407FB81E"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3A946C6"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NARIÑO</w:t>
            </w:r>
          </w:p>
        </w:tc>
        <w:tc>
          <w:tcPr>
            <w:tcW w:w="2127" w:type="dxa"/>
            <w:noWrap/>
            <w:hideMark/>
          </w:tcPr>
          <w:p w14:paraId="700D1230"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139</w:t>
            </w:r>
          </w:p>
        </w:tc>
      </w:tr>
      <w:tr w:rsidR="00BC121A" w:rsidRPr="002D6F59" w14:paraId="206D4C6D"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EC73A53"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SUCRE</w:t>
            </w:r>
          </w:p>
        </w:tc>
        <w:tc>
          <w:tcPr>
            <w:tcW w:w="2127" w:type="dxa"/>
            <w:noWrap/>
            <w:hideMark/>
          </w:tcPr>
          <w:p w14:paraId="3C1583C7"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139</w:t>
            </w:r>
          </w:p>
        </w:tc>
      </w:tr>
      <w:tr w:rsidR="00BC121A" w:rsidRPr="002D6F59" w14:paraId="5ABEF468"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C19B0FD"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CAQUETÁ</w:t>
            </w:r>
          </w:p>
        </w:tc>
        <w:tc>
          <w:tcPr>
            <w:tcW w:w="2127" w:type="dxa"/>
            <w:noWrap/>
            <w:hideMark/>
          </w:tcPr>
          <w:p w14:paraId="20A7A703"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114</w:t>
            </w:r>
          </w:p>
        </w:tc>
      </w:tr>
      <w:tr w:rsidR="00BC121A" w:rsidRPr="002D6F59" w14:paraId="33C149B8"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AB31D35"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QUINDÍO</w:t>
            </w:r>
          </w:p>
        </w:tc>
        <w:tc>
          <w:tcPr>
            <w:tcW w:w="2127" w:type="dxa"/>
            <w:noWrap/>
            <w:hideMark/>
          </w:tcPr>
          <w:p w14:paraId="74747BE1"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106</w:t>
            </w:r>
          </w:p>
        </w:tc>
      </w:tr>
      <w:tr w:rsidR="00BC121A" w:rsidRPr="002D6F59" w14:paraId="7E07C11E"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935EFBD"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lastRenderedPageBreak/>
              <w:t>CASANARE</w:t>
            </w:r>
          </w:p>
        </w:tc>
        <w:tc>
          <w:tcPr>
            <w:tcW w:w="2127" w:type="dxa"/>
            <w:noWrap/>
            <w:hideMark/>
          </w:tcPr>
          <w:p w14:paraId="453ADB9C"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104</w:t>
            </w:r>
          </w:p>
        </w:tc>
      </w:tr>
      <w:tr w:rsidR="00BC121A" w:rsidRPr="002D6F59" w14:paraId="2B5E2C31"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A8886C0"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PUTUMAYO</w:t>
            </w:r>
          </w:p>
        </w:tc>
        <w:tc>
          <w:tcPr>
            <w:tcW w:w="2127" w:type="dxa"/>
            <w:noWrap/>
            <w:hideMark/>
          </w:tcPr>
          <w:p w14:paraId="32A62820"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95</w:t>
            </w:r>
          </w:p>
        </w:tc>
      </w:tr>
      <w:tr w:rsidR="00BC121A" w:rsidRPr="002D6F59" w14:paraId="178CC37B"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6D2221A"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ARAUCA</w:t>
            </w:r>
          </w:p>
        </w:tc>
        <w:tc>
          <w:tcPr>
            <w:tcW w:w="2127" w:type="dxa"/>
            <w:noWrap/>
            <w:hideMark/>
          </w:tcPr>
          <w:p w14:paraId="5673122A"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81</w:t>
            </w:r>
          </w:p>
        </w:tc>
      </w:tr>
      <w:tr w:rsidR="00BC121A" w:rsidRPr="002D6F59" w14:paraId="3368663E"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E340095"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GUAJIRA</w:t>
            </w:r>
          </w:p>
        </w:tc>
        <w:tc>
          <w:tcPr>
            <w:tcW w:w="2127" w:type="dxa"/>
            <w:noWrap/>
            <w:hideMark/>
          </w:tcPr>
          <w:p w14:paraId="7C06FEC3"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75</w:t>
            </w:r>
          </w:p>
        </w:tc>
      </w:tr>
      <w:tr w:rsidR="00BC121A" w:rsidRPr="002D6F59" w14:paraId="70DD9BB2"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727257A"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CHOCÓ</w:t>
            </w:r>
          </w:p>
        </w:tc>
        <w:tc>
          <w:tcPr>
            <w:tcW w:w="2127" w:type="dxa"/>
            <w:noWrap/>
            <w:hideMark/>
          </w:tcPr>
          <w:p w14:paraId="43D581B3"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57</w:t>
            </w:r>
          </w:p>
        </w:tc>
      </w:tr>
      <w:tr w:rsidR="00BC121A" w:rsidRPr="002D6F59" w14:paraId="3922ED32"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0AAFC8B"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GUAVIARE</w:t>
            </w:r>
          </w:p>
        </w:tc>
        <w:tc>
          <w:tcPr>
            <w:tcW w:w="2127" w:type="dxa"/>
            <w:noWrap/>
            <w:hideMark/>
          </w:tcPr>
          <w:p w14:paraId="3AA72428"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49</w:t>
            </w:r>
          </w:p>
        </w:tc>
      </w:tr>
      <w:tr w:rsidR="00BC121A" w:rsidRPr="002D6F59" w14:paraId="0F2FCCF6"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BF2743A"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AMAZONAS</w:t>
            </w:r>
          </w:p>
        </w:tc>
        <w:tc>
          <w:tcPr>
            <w:tcW w:w="2127" w:type="dxa"/>
            <w:noWrap/>
            <w:hideMark/>
          </w:tcPr>
          <w:p w14:paraId="6F619F79"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37</w:t>
            </w:r>
          </w:p>
        </w:tc>
      </w:tr>
      <w:tr w:rsidR="00BC121A" w:rsidRPr="002D6F59" w14:paraId="30A68BE9"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7D6B157"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SAN ANDRÉS</w:t>
            </w:r>
          </w:p>
        </w:tc>
        <w:tc>
          <w:tcPr>
            <w:tcW w:w="2127" w:type="dxa"/>
            <w:noWrap/>
            <w:hideMark/>
          </w:tcPr>
          <w:p w14:paraId="425E2462"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20</w:t>
            </w:r>
          </w:p>
        </w:tc>
      </w:tr>
      <w:tr w:rsidR="00BC121A" w:rsidRPr="002D6F59" w14:paraId="00D0475E"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05227FD"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GUAINÍA</w:t>
            </w:r>
          </w:p>
        </w:tc>
        <w:tc>
          <w:tcPr>
            <w:tcW w:w="2127" w:type="dxa"/>
            <w:noWrap/>
            <w:hideMark/>
          </w:tcPr>
          <w:p w14:paraId="6AD4CD2E"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11</w:t>
            </w:r>
          </w:p>
        </w:tc>
      </w:tr>
      <w:tr w:rsidR="00BC121A" w:rsidRPr="002D6F59" w14:paraId="57910A9C"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14E80FE"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VICHADA</w:t>
            </w:r>
          </w:p>
        </w:tc>
        <w:tc>
          <w:tcPr>
            <w:tcW w:w="2127" w:type="dxa"/>
            <w:noWrap/>
            <w:hideMark/>
          </w:tcPr>
          <w:p w14:paraId="4BB771AE"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8</w:t>
            </w:r>
          </w:p>
        </w:tc>
      </w:tr>
      <w:tr w:rsidR="00BC121A" w:rsidRPr="002D6F59" w14:paraId="5CF482D0" w14:textId="77777777" w:rsidTr="00067D87">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250D9D0"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VAUPÉS</w:t>
            </w:r>
          </w:p>
        </w:tc>
        <w:tc>
          <w:tcPr>
            <w:tcW w:w="2127" w:type="dxa"/>
            <w:noWrap/>
            <w:hideMark/>
          </w:tcPr>
          <w:p w14:paraId="22C0E3EB" w14:textId="77777777" w:rsidR="00BC121A" w:rsidRPr="002D6F59" w:rsidRDefault="00BC121A" w:rsidP="00067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7</w:t>
            </w:r>
          </w:p>
        </w:tc>
      </w:tr>
      <w:tr w:rsidR="00BC121A" w:rsidRPr="002D6F59" w14:paraId="1069860F" w14:textId="77777777" w:rsidTr="00067D87">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B4B5A9A" w14:textId="77777777" w:rsidR="00BC121A" w:rsidRPr="002D6F59" w:rsidRDefault="00BC121A" w:rsidP="00067D87">
            <w:pPr>
              <w:spacing w:line="276" w:lineRule="auto"/>
              <w:jc w:val="center"/>
              <w:rPr>
                <w:rFonts w:ascii="Century Gothic" w:hAnsi="Century Gothic" w:cs="Arial"/>
                <w:sz w:val="20"/>
                <w:szCs w:val="20"/>
                <w:lang w:val="es-CO"/>
              </w:rPr>
            </w:pPr>
            <w:r w:rsidRPr="002D6F59">
              <w:rPr>
                <w:rFonts w:ascii="Century Gothic" w:hAnsi="Century Gothic" w:cs="Arial"/>
                <w:sz w:val="20"/>
                <w:szCs w:val="20"/>
                <w:lang w:val="es-CO"/>
              </w:rPr>
              <w:t>TOTAL GENERAL</w:t>
            </w:r>
          </w:p>
        </w:tc>
        <w:tc>
          <w:tcPr>
            <w:tcW w:w="2127" w:type="dxa"/>
            <w:noWrap/>
            <w:hideMark/>
          </w:tcPr>
          <w:p w14:paraId="04DF9526" w14:textId="77777777" w:rsidR="00BC121A" w:rsidRPr="002D6F59" w:rsidRDefault="00BC121A" w:rsidP="00067D87">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sidRPr="002D6F59">
              <w:rPr>
                <w:rFonts w:ascii="Century Gothic" w:hAnsi="Century Gothic" w:cs="Arial"/>
                <w:sz w:val="20"/>
                <w:szCs w:val="20"/>
                <w:lang w:val="es-CO"/>
              </w:rPr>
              <w:t>10212</w:t>
            </w:r>
          </w:p>
        </w:tc>
      </w:tr>
    </w:tbl>
    <w:p w14:paraId="6DB6E5BB" w14:textId="77777777" w:rsidR="00BC121A" w:rsidRPr="002D6F59" w:rsidRDefault="00BC121A" w:rsidP="00B17AB2">
      <w:pPr>
        <w:spacing w:line="276" w:lineRule="auto"/>
        <w:jc w:val="center"/>
        <w:rPr>
          <w:rFonts w:ascii="Century Gothic" w:hAnsi="Century Gothic" w:cs="Arial"/>
          <w:sz w:val="18"/>
          <w:szCs w:val="18"/>
          <w:lang w:val="es-CO"/>
        </w:rPr>
      </w:pPr>
      <w:r w:rsidRPr="002D6F59">
        <w:rPr>
          <w:rFonts w:ascii="Century Gothic" w:hAnsi="Century Gothic" w:cs="Arial"/>
          <w:sz w:val="18"/>
          <w:szCs w:val="18"/>
          <w:lang w:val="es-CO"/>
        </w:rPr>
        <w:t>Fuente: Dirección de Investigación Criminal e Interpol – Delitos Sexuales periodo 01/01/19 – 30/06/2019</w:t>
      </w:r>
    </w:p>
    <w:p w14:paraId="52447C88" w14:textId="77777777" w:rsidR="001341EC" w:rsidRPr="002D6F59" w:rsidRDefault="001341EC" w:rsidP="00067D87">
      <w:pPr>
        <w:jc w:val="both"/>
        <w:rPr>
          <w:rFonts w:ascii="Century Gothic" w:hAnsi="Century Gothic" w:cs="Arial"/>
          <w:lang w:val="es-CO"/>
        </w:rPr>
      </w:pPr>
    </w:p>
    <w:p w14:paraId="416A3CD0" w14:textId="73F67DC9" w:rsidR="00BC121A" w:rsidRPr="002D6F59" w:rsidRDefault="00BC121A" w:rsidP="00B17AB2">
      <w:pPr>
        <w:spacing w:line="276" w:lineRule="auto"/>
        <w:jc w:val="both"/>
        <w:rPr>
          <w:rFonts w:ascii="Century Gothic" w:hAnsi="Century Gothic" w:cs="Arial"/>
          <w:lang w:val="es-CO"/>
        </w:rPr>
      </w:pPr>
      <w:r w:rsidRPr="002D6F59">
        <w:rPr>
          <w:rFonts w:ascii="Century Gothic" w:hAnsi="Century Gothic" w:cs="Arial"/>
          <w:lang w:val="es-CO"/>
        </w:rPr>
        <w:t xml:space="preserve">De lo anterior, podemos concluir que las personas que ingresan al sistema penitenciario y carcelario por delitos sexuales </w:t>
      </w:r>
      <w:r w:rsidR="001D1CAB" w:rsidRPr="002D6F59">
        <w:rPr>
          <w:rFonts w:ascii="Century Gothic" w:hAnsi="Century Gothic" w:cs="Arial"/>
          <w:lang w:val="es-CO"/>
        </w:rPr>
        <w:t>va</w:t>
      </w:r>
      <w:r w:rsidRPr="002D6F59">
        <w:rPr>
          <w:rFonts w:ascii="Century Gothic" w:hAnsi="Century Gothic" w:cs="Arial"/>
          <w:lang w:val="es-CO"/>
        </w:rPr>
        <w:t xml:space="preserve"> en aumento, de los cuales cerca de un 6.47% son reincidentes.  Es decir, según la cifras del INPEC, de forma general, los delitos sexuales tienen un alto índice de </w:t>
      </w:r>
      <w:r w:rsidR="002442EA" w:rsidRPr="002D6F59">
        <w:rPr>
          <w:rFonts w:ascii="Century Gothic" w:hAnsi="Century Gothic" w:cs="Arial"/>
          <w:lang w:val="es-CO"/>
        </w:rPr>
        <w:t>reincidencia</w:t>
      </w:r>
      <w:r w:rsidRPr="002D6F59">
        <w:rPr>
          <w:rFonts w:ascii="Century Gothic" w:hAnsi="Century Gothic" w:cs="Arial"/>
          <w:lang w:val="es-CO"/>
        </w:rPr>
        <w:t xml:space="preserve">. Pero </w:t>
      </w:r>
      <w:r w:rsidR="002442EA" w:rsidRPr="002D6F59">
        <w:rPr>
          <w:rFonts w:ascii="Century Gothic" w:hAnsi="Century Gothic" w:cs="Arial"/>
          <w:lang w:val="es-CO"/>
        </w:rPr>
        <w:t>además</w:t>
      </w:r>
      <w:r w:rsidRPr="002D6F59">
        <w:rPr>
          <w:rFonts w:ascii="Century Gothic" w:hAnsi="Century Gothic" w:cs="Arial"/>
          <w:lang w:val="es-CO"/>
        </w:rPr>
        <w:t>, de esta reincidencia la mayor parte está representada por agresores de menores. Una de las formas en las cuales el proyecto acto legislativo pretende lograr una mayor protección de los menores está precisamente en evitar la reincidencia de los posibles agresor</w:t>
      </w:r>
      <w:r w:rsidR="001D1CAB" w:rsidRPr="002D6F59">
        <w:rPr>
          <w:rFonts w:ascii="Century Gothic" w:hAnsi="Century Gothic" w:cs="Arial"/>
          <w:lang w:val="es-CO"/>
        </w:rPr>
        <w:t>es, especialmente de aquellos que</w:t>
      </w:r>
      <w:r w:rsidRPr="002D6F59">
        <w:rPr>
          <w:rFonts w:ascii="Century Gothic" w:hAnsi="Century Gothic" w:cs="Arial"/>
          <w:lang w:val="es-CO"/>
        </w:rPr>
        <w:t xml:space="preserve"> constituye</w:t>
      </w:r>
      <w:r w:rsidR="001D1CAB" w:rsidRPr="002D6F59">
        <w:rPr>
          <w:rFonts w:ascii="Century Gothic" w:hAnsi="Century Gothic" w:cs="Arial"/>
          <w:lang w:val="es-CO"/>
        </w:rPr>
        <w:t>n</w:t>
      </w:r>
      <w:r w:rsidRPr="002D6F59">
        <w:rPr>
          <w:rFonts w:ascii="Century Gothic" w:hAnsi="Century Gothic" w:cs="Arial"/>
          <w:lang w:val="es-CO"/>
        </w:rPr>
        <w:t xml:space="preserve"> un peligro exacerbado para la comunidad.</w:t>
      </w:r>
    </w:p>
    <w:p w14:paraId="23ABCEB5" w14:textId="77777777" w:rsidR="00BC121A" w:rsidRPr="002D6F59" w:rsidRDefault="00BC121A" w:rsidP="00FF562B">
      <w:pPr>
        <w:jc w:val="both"/>
        <w:rPr>
          <w:rFonts w:ascii="Century Gothic" w:hAnsi="Century Gothic" w:cs="Arial"/>
          <w:lang w:val="es-CO"/>
        </w:rPr>
      </w:pPr>
    </w:p>
    <w:p w14:paraId="1125B2C0" w14:textId="669FB393" w:rsidR="00BC121A" w:rsidRPr="002D6F59" w:rsidRDefault="00BC121A" w:rsidP="00B17AB2">
      <w:pPr>
        <w:spacing w:line="276" w:lineRule="auto"/>
        <w:jc w:val="both"/>
        <w:rPr>
          <w:rFonts w:ascii="Century Gothic" w:hAnsi="Century Gothic" w:cs="Arial"/>
          <w:lang w:val="es-CO"/>
        </w:rPr>
      </w:pPr>
      <w:r w:rsidRPr="002D6F59">
        <w:rPr>
          <w:rFonts w:ascii="Century Gothic" w:hAnsi="Century Gothic" w:cs="Arial"/>
          <w:lang w:val="es-CO"/>
        </w:rPr>
        <w:t xml:space="preserve">Lo </w:t>
      </w:r>
      <w:r w:rsidR="001D1CAB" w:rsidRPr="002D6F59">
        <w:rPr>
          <w:rFonts w:ascii="Century Gothic" w:hAnsi="Century Gothic" w:cs="Arial"/>
          <w:lang w:val="es-CO"/>
        </w:rPr>
        <w:t>enunciado</w:t>
      </w:r>
      <w:r w:rsidRPr="002D6F59">
        <w:rPr>
          <w:rFonts w:ascii="Century Gothic" w:hAnsi="Century Gothic" w:cs="Arial"/>
          <w:lang w:val="es-CO"/>
        </w:rPr>
        <w:t xml:space="preserve"> se logra, en primer lugar, a través de lo anteriormente explicado sobre el fin de prevención general negativa de la pena, esto es, disuadir a los futuros agresores otra vez de un monto punitivo mayor para evitar la afectación de los bienes jurídicos de los menores. En segundo lugar, la cadena perpetua para estos delitos, si bien es e</w:t>
      </w:r>
      <w:r w:rsidR="001D1CAB" w:rsidRPr="002D6F59">
        <w:rPr>
          <w:rFonts w:ascii="Century Gothic" w:hAnsi="Century Gothic" w:cs="Arial"/>
          <w:lang w:val="es-CO"/>
        </w:rPr>
        <w:t>xcepcional, cuando se aplique, f</w:t>
      </w:r>
      <w:r w:rsidRPr="002D6F59">
        <w:rPr>
          <w:rFonts w:ascii="Century Gothic" w:hAnsi="Century Gothic" w:cs="Arial"/>
          <w:lang w:val="es-CO"/>
        </w:rPr>
        <w:t>rente a los casos más graves, se está evitando que el agresor reincidan el delito no solo porque se lo está apartando</w:t>
      </w:r>
      <w:r w:rsidR="001D1CAB" w:rsidRPr="002D6F59">
        <w:rPr>
          <w:rFonts w:ascii="Century Gothic" w:hAnsi="Century Gothic" w:cs="Arial"/>
          <w:lang w:val="es-CO"/>
        </w:rPr>
        <w:t xml:space="preserve"> por un tiempo de la sociedad, s</w:t>
      </w:r>
      <w:r w:rsidRPr="002D6F59">
        <w:rPr>
          <w:rFonts w:ascii="Century Gothic" w:hAnsi="Century Gothic" w:cs="Arial"/>
          <w:lang w:val="es-CO"/>
        </w:rPr>
        <w:t xml:space="preserve">ino también porque el reintegro a la misma está condicionado a la verificación de su correcta resocialización. </w:t>
      </w:r>
      <w:r w:rsidR="00F60C06" w:rsidRPr="002D6F59">
        <w:rPr>
          <w:rFonts w:ascii="Century Gothic" w:hAnsi="Century Gothic" w:cs="Arial"/>
          <w:lang w:val="es-CO"/>
        </w:rPr>
        <w:t>De esta forma, el proyecto dota</w:t>
      </w:r>
      <w:r w:rsidRPr="002D6F59">
        <w:rPr>
          <w:rFonts w:ascii="Century Gothic" w:hAnsi="Century Gothic" w:cs="Arial"/>
          <w:lang w:val="es-CO"/>
        </w:rPr>
        <w:t xml:space="preserve"> de herramientas a</w:t>
      </w:r>
      <w:r w:rsidR="00814CB0" w:rsidRPr="002D6F59">
        <w:rPr>
          <w:rFonts w:ascii="Century Gothic" w:hAnsi="Century Gothic" w:cs="Arial"/>
          <w:lang w:val="es-CO"/>
        </w:rPr>
        <w:t xml:space="preserve"> </w:t>
      </w:r>
      <w:r w:rsidR="00F60C06" w:rsidRPr="002D6F59">
        <w:rPr>
          <w:rFonts w:ascii="Century Gothic" w:hAnsi="Century Gothic" w:cs="Arial"/>
          <w:lang w:val="es-CO"/>
        </w:rPr>
        <w:t>la sociedad y</w:t>
      </w:r>
      <w:r w:rsidRPr="002D6F59">
        <w:rPr>
          <w:rFonts w:ascii="Century Gothic" w:hAnsi="Century Gothic" w:cs="Arial"/>
          <w:lang w:val="es-CO"/>
        </w:rPr>
        <w:t>, en especial, al sistema de justicia, parar disminuir la reincidencia en estos delitos.</w:t>
      </w:r>
    </w:p>
    <w:p w14:paraId="49463633" w14:textId="77777777" w:rsidR="00DC6CB3" w:rsidRPr="002D6F59" w:rsidRDefault="00DC6CB3" w:rsidP="00B17AB2">
      <w:pPr>
        <w:pStyle w:val="Prrafodelista"/>
        <w:spacing w:after="0"/>
        <w:ind w:left="0"/>
        <w:jc w:val="both"/>
        <w:rPr>
          <w:rFonts w:ascii="Century Gothic" w:hAnsi="Century Gothic" w:cs="Arial"/>
          <w:sz w:val="24"/>
          <w:szCs w:val="24"/>
        </w:rPr>
      </w:pPr>
    </w:p>
    <w:p w14:paraId="32E30E86" w14:textId="33A0DF8D" w:rsidR="00814CB0" w:rsidRPr="002D6F59" w:rsidRDefault="00814CB0" w:rsidP="00067D87">
      <w:pPr>
        <w:pStyle w:val="Prrafodelista"/>
        <w:numPr>
          <w:ilvl w:val="0"/>
          <w:numId w:val="25"/>
        </w:numPr>
        <w:spacing w:after="0"/>
        <w:ind w:left="720"/>
        <w:jc w:val="center"/>
        <w:rPr>
          <w:rFonts w:ascii="Century Gothic" w:hAnsi="Century Gothic" w:cs="Arial"/>
          <w:sz w:val="24"/>
          <w:szCs w:val="24"/>
        </w:rPr>
      </w:pPr>
      <w:r w:rsidRPr="002D6F59">
        <w:rPr>
          <w:rFonts w:ascii="Century Gothic" w:hAnsi="Century Gothic" w:cs="Arial"/>
          <w:b/>
          <w:sz w:val="24"/>
          <w:szCs w:val="24"/>
        </w:rPr>
        <w:t>UNA MIRADA DESDE LO JURÍDICO CONSTITUCIONAL DE LA CADENA PERPETUA EXCEPCIONAL</w:t>
      </w:r>
    </w:p>
    <w:p w14:paraId="7F6CBA60" w14:textId="77777777" w:rsidR="00814CB0" w:rsidRPr="002D6F59" w:rsidRDefault="00814CB0" w:rsidP="00B17AB2">
      <w:pPr>
        <w:pStyle w:val="Prrafodelista"/>
        <w:spacing w:after="0"/>
        <w:jc w:val="both"/>
        <w:rPr>
          <w:rFonts w:ascii="Century Gothic" w:hAnsi="Century Gothic" w:cs="Arial"/>
          <w:sz w:val="24"/>
          <w:szCs w:val="24"/>
        </w:rPr>
      </w:pPr>
    </w:p>
    <w:p w14:paraId="2C167F76" w14:textId="12F86664" w:rsidR="00814CB0" w:rsidRPr="002D6F59" w:rsidRDefault="00814CB0" w:rsidP="00B17AB2">
      <w:pPr>
        <w:pStyle w:val="Prrafodelista"/>
        <w:numPr>
          <w:ilvl w:val="0"/>
          <w:numId w:val="46"/>
        </w:numPr>
        <w:spacing w:after="240"/>
        <w:jc w:val="both"/>
        <w:rPr>
          <w:rFonts w:ascii="Century Gothic" w:hAnsi="Century Gothic" w:cs="Arial"/>
          <w:b/>
        </w:rPr>
      </w:pPr>
      <w:r w:rsidRPr="002D6F59">
        <w:rPr>
          <w:rFonts w:ascii="Century Gothic" w:hAnsi="Century Gothic" w:cs="Arial"/>
          <w:b/>
        </w:rPr>
        <w:lastRenderedPageBreak/>
        <w:t>LA DIMENSIÓN DE LA DIGNIDAD HUMANA</w:t>
      </w:r>
      <w:r w:rsidR="00F60C06" w:rsidRPr="002D6F59">
        <w:rPr>
          <w:rFonts w:ascii="Century Gothic" w:hAnsi="Century Gothic" w:cs="Arial"/>
          <w:b/>
        </w:rPr>
        <w:t>.</w:t>
      </w:r>
    </w:p>
    <w:p w14:paraId="042D5BB4"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Desde el artículo 13 de la Constitución Nacional se consagra el derecho a la igualdad, que parte de la regla de justicia de tratar a los iguales de modo igual y a los desiguales de modo desigual  y que obliga al Estado en los términos dictaminados a dar especial protección o protección reforzada a las personas que presentan mayor vulnerabilidad en el contexto social, siendo por ende los niños, niñas y adolescentes un grupo o colectivo de especial vulnerabilidad en cuanto no cuentan con un desarrollo de su personalidad solido que les permita esquemas de autoprotección y que tienen el derecho a desarrollar su dignidad y las capacidades para desplegar su autonomía de forma libre y garantizada, por lo cual se hace necesario desde el Estado generar condiciones y acciones diferenciadas desde la igualdad para generar esas garantías de desarrollo hasta alcanzar su madurez adulta.</w:t>
      </w:r>
    </w:p>
    <w:p w14:paraId="650689AB" w14:textId="77777777" w:rsidR="002442EA" w:rsidRPr="002D6F59" w:rsidRDefault="002442EA" w:rsidP="00FF562B">
      <w:pPr>
        <w:jc w:val="both"/>
        <w:rPr>
          <w:rFonts w:ascii="Century Gothic" w:hAnsi="Century Gothic" w:cs="Arial"/>
        </w:rPr>
      </w:pPr>
    </w:p>
    <w:p w14:paraId="46DC506B" w14:textId="51F998BC"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Cuando a un niño, niña o adolescente se le cercena el derecho digno de desarrollar su personalidad y se le altera su línea de vida con un hecho violento afecta integralmente todos los demás derechos fundamentales al afectar su esfera física, mental, emocional y social.</w:t>
      </w:r>
    </w:p>
    <w:p w14:paraId="6F654FBE" w14:textId="77777777" w:rsidR="00067D87" w:rsidRPr="002D6F59" w:rsidRDefault="00067D87" w:rsidP="00067D87">
      <w:pPr>
        <w:jc w:val="both"/>
        <w:rPr>
          <w:rFonts w:ascii="Century Gothic" w:hAnsi="Century Gothic" w:cs="Arial"/>
        </w:rPr>
      </w:pPr>
    </w:p>
    <w:p w14:paraId="0438CD58"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Por ello se hace necesario y exigible que desde una política criminal y desde la penología se analice la incidencia de la pena desde la víctima y su condición dentro de la sociedad que permita dirigir y desplegar la función del Estado en la protección y garantía debida que establece el artículo 2º Constitucional.</w:t>
      </w:r>
    </w:p>
    <w:p w14:paraId="0D05F6E9" w14:textId="77777777" w:rsidR="002442EA" w:rsidRPr="002D6F59" w:rsidRDefault="002442EA" w:rsidP="00067D87">
      <w:pPr>
        <w:jc w:val="both"/>
        <w:rPr>
          <w:rFonts w:ascii="Century Gothic" w:hAnsi="Century Gothic" w:cs="Arial"/>
        </w:rPr>
      </w:pPr>
    </w:p>
    <w:p w14:paraId="122A4EF6"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Definiendo la pena como “la limitación de los derechos personales a un sujeto impuesta por el Estado como consecuencia de un proceso adelantado por el ente competente, cuando es declarado responsable de una conducta definida de manera inequívoca por las normas, que lesiona o pone en peligro sin justa causa, el bien jurídico tutelado”. (Galvis, M. 2003. p. 17).</w:t>
      </w:r>
    </w:p>
    <w:p w14:paraId="38DDFA8C" w14:textId="77777777" w:rsidR="002442EA" w:rsidRPr="002D6F59" w:rsidRDefault="002442EA" w:rsidP="00067D87">
      <w:pPr>
        <w:jc w:val="both"/>
        <w:rPr>
          <w:rFonts w:ascii="Century Gothic" w:hAnsi="Century Gothic" w:cs="Arial"/>
        </w:rPr>
      </w:pPr>
    </w:p>
    <w:p w14:paraId="7C23EA5C" w14:textId="27E1E600"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Es necesario preguntar que implica la limitación de derechos personales a un delincuente respecto de su dignidad humana, en su significado de igual dignidad para todo ser human</w:t>
      </w:r>
      <w:r w:rsidR="00F424D8">
        <w:rPr>
          <w:rFonts w:ascii="Century Gothic" w:hAnsi="Century Gothic" w:cs="Arial"/>
        </w:rPr>
        <w:t>o</w:t>
      </w:r>
      <w:r w:rsidRPr="002D6F59">
        <w:rPr>
          <w:rFonts w:ascii="Century Gothic" w:hAnsi="Century Gothic" w:cs="Arial"/>
        </w:rPr>
        <w:t xml:space="preserve">, cuando en los términos de la Corte Constitucional se define como una dimensión de la dignidad humana la autonomía y como consecuencia de su despliegue el derecho de cada individuo de definir su plan de vida, y ese plan de vida que en su esfera de libertad define autónomamente un individuo no es compatible con un orden </w:t>
      </w:r>
      <w:r w:rsidRPr="002D6F59">
        <w:rPr>
          <w:rFonts w:ascii="Century Gothic" w:hAnsi="Century Gothic" w:cs="Arial"/>
        </w:rPr>
        <w:lastRenderedPageBreak/>
        <w:t xml:space="preserve">jurídico, político y social impuesto constitucionalmente en un Estado de Derecho democrático e incluyente. Pues si bien la dignidad humana tienen garantías y el deber de respeto aún en los casos de un criminal, esta también resulta menguada y limitada cuando el individuo trasgrede el orden justo del otro y aún más cuando el otro es una persona en estado de vulnerabilidad y debilidad como lo son los niños, niñas y adolescentes. </w:t>
      </w:r>
    </w:p>
    <w:p w14:paraId="36E1A5A6" w14:textId="77777777" w:rsidR="002442EA" w:rsidRPr="002D6F59" w:rsidRDefault="002442EA" w:rsidP="00067D87">
      <w:pPr>
        <w:jc w:val="both"/>
        <w:rPr>
          <w:rFonts w:ascii="Century Gothic" w:hAnsi="Century Gothic" w:cs="Arial"/>
        </w:rPr>
      </w:pPr>
    </w:p>
    <w:p w14:paraId="08E2D811"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 xml:space="preserve">La respuesta en lo razonable debe abocar porque efectivamente la dignidad del delincuente se mengua en cuanto pierde capacidad de ejercer su autonomía y el poder coercitivo del Estado limita entre ellos el derecho a la libertad, bajo un fin de protección de intereses y bienes jurídicamente tutelados. Ello no significa que el individuo objeto de la imposición de una sanción penal pierda su capacidad de ser sujeto de derechos y por ende su dignidad no se mengua respeto a tener derecho a un juicio justo, en todo y de manera estricta apegado al debido proceso y con plenas garantías, a no ser objeto de torturas o tratos crueles e inhumanos, etc, pero siempre conservando el Estado y la sociedad transgredida la capacidad de limitar esferas de sus derechos y en específico de su libertad. </w:t>
      </w:r>
    </w:p>
    <w:p w14:paraId="099CB483" w14:textId="77777777" w:rsidR="002442EA" w:rsidRPr="002D6F59" w:rsidRDefault="002442EA" w:rsidP="00067D87">
      <w:pPr>
        <w:jc w:val="both"/>
        <w:rPr>
          <w:rFonts w:ascii="Century Gothic" w:hAnsi="Century Gothic" w:cs="Arial"/>
        </w:rPr>
      </w:pPr>
    </w:p>
    <w:p w14:paraId="5BC5CBF2" w14:textId="30560431" w:rsidR="002442EA" w:rsidRDefault="002442EA" w:rsidP="00B17AB2">
      <w:pPr>
        <w:spacing w:line="276" w:lineRule="auto"/>
        <w:jc w:val="both"/>
        <w:rPr>
          <w:rFonts w:ascii="Century Gothic" w:hAnsi="Century Gothic" w:cs="Arial"/>
        </w:rPr>
      </w:pPr>
      <w:r w:rsidRPr="002D6F59">
        <w:rPr>
          <w:rFonts w:ascii="Century Gothic" w:hAnsi="Century Gothic" w:cs="Arial"/>
        </w:rPr>
        <w:t>Por ello no resulta claro la posición de algunos de los detractores de la cadena perpetua en cuanto se da una relevancia protagónica y única a la dignidad del condenado, que al menos requeriría un test de igualdad frente a dos derechos confrontados entre victimario y victima que ha sido sometida a una humillación e indignación que lo abarca no solo como individuo sino como miembro de un colectivo ya sea la familia, o las esferas que inciden su desarrollo.</w:t>
      </w:r>
    </w:p>
    <w:p w14:paraId="6EEB92E8" w14:textId="77777777" w:rsidR="00FF562B" w:rsidRPr="002D6F59" w:rsidRDefault="00FF562B" w:rsidP="00FF562B">
      <w:pPr>
        <w:jc w:val="both"/>
        <w:rPr>
          <w:rFonts w:ascii="Century Gothic" w:hAnsi="Century Gothic" w:cs="Arial"/>
        </w:rPr>
      </w:pPr>
    </w:p>
    <w:p w14:paraId="7AB1E13A" w14:textId="20415423" w:rsidR="00FF562B" w:rsidRDefault="002442EA" w:rsidP="00B17AB2">
      <w:pPr>
        <w:spacing w:line="276" w:lineRule="auto"/>
        <w:jc w:val="both"/>
        <w:rPr>
          <w:rFonts w:ascii="Century Gothic" w:hAnsi="Century Gothic" w:cs="Arial"/>
        </w:rPr>
      </w:pPr>
      <w:r w:rsidRPr="002D6F59">
        <w:rPr>
          <w:rFonts w:ascii="Century Gothic" w:hAnsi="Century Gothic" w:cs="Arial"/>
        </w:rPr>
        <w:t>Cuando se afirma que la prisión perpetua “infringe la columna vertebral del modelo de Estado: “</w:t>
      </w:r>
      <w:r w:rsidRPr="002D6F59">
        <w:rPr>
          <w:rFonts w:ascii="Century Gothic" w:hAnsi="Century Gothic" w:cs="Arial"/>
          <w:i/>
        </w:rPr>
        <w:t>la dignidad de la persona.”,</w:t>
      </w:r>
      <w:r w:rsidRPr="002D6F59">
        <w:rPr>
          <w:rFonts w:ascii="Century Gothic" w:hAnsi="Century Gothic" w:cs="Arial"/>
        </w:rPr>
        <w:t xml:space="preserve"> dignidad que prohíbe la cosificación o instrumentalización del ser humano con la inocuización del delincuente “</w:t>
      </w:r>
      <w:r w:rsidRPr="002D6F59">
        <w:rPr>
          <w:rFonts w:ascii="Century Gothic" w:hAnsi="Century Gothic" w:cs="Arial"/>
          <w:i/>
        </w:rPr>
        <w:t xml:space="preserve">para dar un mensaje social de exclusión” </w:t>
      </w:r>
      <w:r w:rsidRPr="002D6F59">
        <w:rPr>
          <w:rFonts w:ascii="Century Gothic" w:hAnsi="Century Gothic" w:cs="Arial"/>
        </w:rPr>
        <w:t xml:space="preserve">, en donde se hace necesario reflexionar sobre la manera como los teóricos le dan un contenido a una visión individual y para sostener una causa particular a la dignidad humana, desconociendo no sólo que bajo esa mirada el sólo derecho que se le advierte al Estado de limitar el derecho a la libertad del delincuente, entraría en la misma esfera. </w:t>
      </w:r>
    </w:p>
    <w:p w14:paraId="054576CB" w14:textId="77777777" w:rsidR="00F424D8" w:rsidRDefault="00F424D8" w:rsidP="00F424D8">
      <w:pPr>
        <w:jc w:val="both"/>
        <w:rPr>
          <w:rFonts w:ascii="Century Gothic" w:hAnsi="Century Gothic" w:cs="Arial"/>
        </w:rPr>
      </w:pPr>
    </w:p>
    <w:p w14:paraId="1852A147" w14:textId="5FE8A294"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lastRenderedPageBreak/>
        <w:t>Tratar de negar funciones de la pena y de la política criminal, para reducirla a que su único fin compatible con la columna vertebral de las bases estructurantes del Estado Colombiano, es la resocialización de la pena, es negar nuestro peso cultural histórico y negar que como sociedad hemos tenido que bogar en suplica por la necesidad de protección de sujetos que han acorralado a la sociedad y que en muchos apartes de nuestra codificación penal llamamos “</w:t>
      </w:r>
      <w:r w:rsidRPr="002D6F59">
        <w:rPr>
          <w:rFonts w:ascii="Century Gothic" w:hAnsi="Century Gothic" w:cs="Arial"/>
          <w:i/>
        </w:rPr>
        <w:t>sujetos de especial peligrosidad</w:t>
      </w:r>
      <w:r w:rsidRPr="002D6F59">
        <w:rPr>
          <w:rFonts w:ascii="Century Gothic" w:hAnsi="Century Gothic" w:cs="Arial"/>
        </w:rPr>
        <w:t>”, y frente a los cuales la sociedad reclaman su inocuización como única forma de garantizar sus derechos mínimos a preservar su vida, crear falacias argumentativas es quizás lo único que no merecen los niños, niñas y adolescentes que esperan se garanticen sus derechos frente a sujetos de especial peligrosidad que atentan y acechan su posibilidad de desarrollar su individualidad y su plan de vida de manera libre.</w:t>
      </w:r>
    </w:p>
    <w:p w14:paraId="0355B72C" w14:textId="77777777" w:rsidR="00141E7A" w:rsidRPr="002D6F59" w:rsidRDefault="00141E7A" w:rsidP="00067D87">
      <w:pPr>
        <w:jc w:val="both"/>
        <w:rPr>
          <w:rFonts w:ascii="Century Gothic" w:hAnsi="Century Gothic" w:cs="Arial"/>
          <w:b/>
        </w:rPr>
      </w:pPr>
    </w:p>
    <w:p w14:paraId="53B3A4AB" w14:textId="7B9600CD" w:rsidR="002442EA" w:rsidRPr="002D6F59" w:rsidRDefault="00141E7A" w:rsidP="00B17AB2">
      <w:pPr>
        <w:pStyle w:val="Prrafodelista"/>
        <w:numPr>
          <w:ilvl w:val="0"/>
          <w:numId w:val="46"/>
        </w:numPr>
        <w:spacing w:after="240"/>
        <w:jc w:val="both"/>
        <w:rPr>
          <w:rFonts w:ascii="Century Gothic" w:hAnsi="Century Gothic" w:cs="Arial"/>
          <w:b/>
        </w:rPr>
      </w:pPr>
      <w:r w:rsidRPr="002D6F59">
        <w:rPr>
          <w:rFonts w:ascii="Century Gothic" w:hAnsi="Century Gothic" w:cs="Arial"/>
          <w:b/>
        </w:rPr>
        <w:t>LA COMPETENCIA DEL CONSTITUYENTE SECUNDARIO PARA REFORMAR EL ARTÍCULO 34 DE LA CONSTITUCIÓN.</w:t>
      </w:r>
    </w:p>
    <w:p w14:paraId="3501EF3E" w14:textId="77777777" w:rsidR="002442EA" w:rsidRPr="002D6F59" w:rsidRDefault="002442EA" w:rsidP="00B17AB2">
      <w:pPr>
        <w:spacing w:line="276" w:lineRule="auto"/>
        <w:jc w:val="both"/>
        <w:rPr>
          <w:rFonts w:ascii="Century Gothic" w:hAnsi="Century Gothic" w:cs="Arial"/>
          <w:color w:val="2D2D2D"/>
          <w:shd w:val="clear" w:color="auto" w:fill="FFFFFF"/>
        </w:rPr>
      </w:pPr>
      <w:r w:rsidRPr="002D6F59">
        <w:rPr>
          <w:rFonts w:ascii="Century Gothic" w:hAnsi="Century Gothic" w:cs="Arial"/>
        </w:rPr>
        <w:t xml:space="preserve">Un tema de que requiere abocarse y que se encuentra inserto en toda reforma constitucional es </w:t>
      </w:r>
      <w:r w:rsidRPr="002D6F59">
        <w:rPr>
          <w:rFonts w:ascii="Century Gothic" w:hAnsi="Century Gothic" w:cs="Arial"/>
          <w:color w:val="2D2D2D"/>
          <w:shd w:val="clear" w:color="auto" w:fill="FFFFFF"/>
        </w:rPr>
        <w:t>determinar si el poder de reforma constitucional excede o no el ámbito de competencia del legislador como constituyente derivado.</w:t>
      </w:r>
    </w:p>
    <w:p w14:paraId="02E8955B" w14:textId="77777777" w:rsidR="00141E7A" w:rsidRPr="002D6F59" w:rsidRDefault="00141E7A" w:rsidP="00B17AB2">
      <w:pPr>
        <w:spacing w:line="276" w:lineRule="auto"/>
        <w:jc w:val="both"/>
        <w:rPr>
          <w:rFonts w:ascii="Century Gothic" w:hAnsi="Century Gothic" w:cs="Arial"/>
          <w:color w:val="2D2D2D"/>
          <w:shd w:val="clear" w:color="auto" w:fill="FFFFFF"/>
        </w:rPr>
      </w:pPr>
    </w:p>
    <w:p w14:paraId="197B10B1" w14:textId="31530D32" w:rsidR="002442EA" w:rsidRPr="002D6F59" w:rsidRDefault="002442EA" w:rsidP="00FF562B">
      <w:pPr>
        <w:spacing w:line="276" w:lineRule="auto"/>
        <w:jc w:val="both"/>
        <w:rPr>
          <w:rFonts w:ascii="Century Gothic" w:hAnsi="Century Gothic" w:cs="Arial"/>
          <w:i/>
          <w:iCs/>
          <w:color w:val="2D2D2D"/>
          <w:bdr w:val="none" w:sz="0" w:space="0" w:color="auto" w:frame="1"/>
        </w:rPr>
      </w:pPr>
      <w:r w:rsidRPr="002D6F59">
        <w:rPr>
          <w:rFonts w:ascii="Century Gothic" w:hAnsi="Century Gothic" w:cs="Arial"/>
          <w:color w:val="2D2D2D"/>
          <w:shd w:val="clear" w:color="auto" w:fill="FFFFFF"/>
        </w:rPr>
        <w:t>En ese orden es necesario partir de la reflexión que la Corte Constitucional expone en la sentencia C-1056 de 2012: “</w:t>
      </w:r>
      <w:r w:rsidRPr="002D6F59">
        <w:rPr>
          <w:rFonts w:ascii="Century Gothic" w:hAnsi="Century Gothic" w:cs="Arial"/>
          <w:i/>
          <w:iCs/>
          <w:color w:val="2D2D2D"/>
          <w:bdr w:val="none" w:sz="0" w:space="0" w:color="auto" w:frame="1"/>
        </w:rPr>
        <w:t>El control constitucional del poder de reforma o de revisión comporta dos graves peligros: la petrificación de la Constitución y el subjetivismo del juez constitucional. El primero consiste en que la misión del juez constitucional de defender la Constitución termine por impedir que ésta sea reformada inclusive en temas importantes y significativos para la vida cambiante de un país. Esto sucede cuando las reformas constitucionales - debido al impacto que tiene el ejercicio cotidiano de la función de guardar la integridad del texto original sobre el juez constitucional – son percibidas como atentados contra el diseño original, en lugar de ser vistos como adaptaciones o alteraciones que buscan asegurar la continuidad, con modificaciones, de la Constitución en un contexto cambiante. El segundo peligro radica en que la indeterminación de los principios constitucionales más básicos puede conducir, ante un cambio importante de la Constitución, a que el juez constitucional aplique sus propias concepciones y le reste valor a otras ideas, también legítimas, que no son opuestas al diseño original, así lo reformen.”.</w:t>
      </w:r>
    </w:p>
    <w:p w14:paraId="213C11F2" w14:textId="77777777" w:rsidR="002442EA" w:rsidRPr="002D6F59" w:rsidRDefault="002442EA" w:rsidP="00B17AB2">
      <w:pPr>
        <w:spacing w:line="276" w:lineRule="auto"/>
        <w:jc w:val="both"/>
        <w:rPr>
          <w:rFonts w:ascii="Century Gothic" w:hAnsi="Century Gothic" w:cs="Arial"/>
          <w:iCs/>
          <w:color w:val="2D2D2D"/>
          <w:bdr w:val="none" w:sz="0" w:space="0" w:color="auto" w:frame="1"/>
        </w:rPr>
      </w:pPr>
      <w:r w:rsidRPr="002D6F59">
        <w:rPr>
          <w:rFonts w:ascii="Century Gothic" w:hAnsi="Century Gothic" w:cs="Arial"/>
          <w:iCs/>
          <w:color w:val="2D2D2D"/>
          <w:bdr w:val="none" w:sz="0" w:space="0" w:color="auto" w:frame="1"/>
        </w:rPr>
        <w:lastRenderedPageBreak/>
        <w:t>Reflexión que nos lleva a exponer que la reforma al artículo 34 de la Constitución Nacional, implica una reforma requerida y necesaria ante situaciones sociales que requieren movilizar el derecho para albergar dentro de la Constitución un esquema de protección reforzada de la vida y dignidad de los niños, niñas y adolescentes en el deber del Estado de generar garantías en su desarrollo libre, autónomo y no permitir que sean vulnerados de manera abrupta en sus derechos cercenando su inocencia y sus planes de vida a través de la construcción de sus capacidades como parámetro mínimo que en su estado de vulnerabilidad se le exige a la sociedad que los identificas y al Estado que los protege y garantiza la posibilidad de autodeterminarse como ciudadanos al asumir su estado adulto.</w:t>
      </w:r>
    </w:p>
    <w:p w14:paraId="25DFF00C" w14:textId="77777777" w:rsidR="00657CE7" w:rsidRPr="002D6F59" w:rsidRDefault="00657CE7" w:rsidP="00067D87">
      <w:pPr>
        <w:jc w:val="both"/>
        <w:rPr>
          <w:rFonts w:ascii="Century Gothic" w:hAnsi="Century Gothic" w:cs="Arial"/>
          <w:iCs/>
          <w:color w:val="2D2D2D"/>
          <w:bdr w:val="none" w:sz="0" w:space="0" w:color="auto" w:frame="1"/>
        </w:rPr>
      </w:pPr>
    </w:p>
    <w:p w14:paraId="54463F21" w14:textId="77777777" w:rsidR="00657CE7" w:rsidRPr="002D6F59" w:rsidRDefault="00657CE7" w:rsidP="00B17AB2">
      <w:pPr>
        <w:spacing w:line="276" w:lineRule="auto"/>
        <w:jc w:val="both"/>
        <w:rPr>
          <w:rFonts w:ascii="Century Gothic" w:hAnsi="Century Gothic" w:cs="Arial"/>
          <w:i/>
          <w:shd w:val="clear" w:color="auto" w:fill="FFFFFF"/>
        </w:rPr>
      </w:pPr>
      <w:r w:rsidRPr="002D6F59">
        <w:rPr>
          <w:rFonts w:ascii="Century Gothic" w:hAnsi="Century Gothic" w:cs="Arial"/>
          <w:iCs/>
          <w:bdr w:val="none" w:sz="0" w:space="0" w:color="auto" w:frame="1"/>
        </w:rPr>
        <w:t>En ese orden teniendo en cuenta que la sustitución de la Constitución parte de la concepción de que el legislador como constituyente secundario carece de la competencia para sustituir la constitución, cuando a través de una reforma constitucional se irrumpen los principios, valores o elementos esenciales definitorios de la arquitectura constitucional y tomando como parámetro los enumerados en la sentencia C-249 de 2012, pero reconociendo que progresivamente pueden identificarse otros, se tienen:  “</w:t>
      </w:r>
      <w:r w:rsidRPr="002D6F59">
        <w:rPr>
          <w:rFonts w:ascii="Century Gothic" w:hAnsi="Century Gothic" w:cs="Arial"/>
          <w:i/>
          <w:shd w:val="clear" w:color="auto" w:fill="FFFFFF"/>
        </w:rPr>
        <w:t xml:space="preserve">el principio democrático y el de separación de poderes, la carrera administrativa y el mérito como principal criterio de acceso a los cargos públicos, el principio de igualdad, el bicameralismo como criterio orientador de la configuración del órgano legislativo, y finalmente el principio de alternación en el ejercicio del poder público, y el sistema de pesos y contrapesos, todos estos últimos en cuanto expresiones o manifestaciones concretas del principio democrático, que según antes se indicó, tiene en sí mismo idéntica connotación.”. </w:t>
      </w:r>
    </w:p>
    <w:p w14:paraId="25F0C2FC" w14:textId="77777777" w:rsidR="00657CE7" w:rsidRPr="002D6F59" w:rsidRDefault="00657CE7" w:rsidP="00067D87">
      <w:pPr>
        <w:jc w:val="both"/>
        <w:rPr>
          <w:rFonts w:ascii="Century Gothic" w:hAnsi="Century Gothic" w:cs="Arial"/>
          <w:i/>
          <w:shd w:val="clear" w:color="auto" w:fill="FFFFFF"/>
        </w:rPr>
      </w:pPr>
    </w:p>
    <w:p w14:paraId="207509E7" w14:textId="77777777" w:rsidR="00657CE7" w:rsidRPr="002D6F59"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A estos elementos esenciales pueden agregarse: la independencia judicial, la supremacía de la Constitución, los privilegios injustificados y el principio de igualdad, la primacía de los derechos inalienables, la prevalencia de los derechos de los niños, la prevalencia del interés general, la justicia y el bien común y la obligación del Estado de protección y garantía de los derechos fundamentales.</w:t>
      </w:r>
    </w:p>
    <w:p w14:paraId="4F5A1FC5" w14:textId="77777777" w:rsidR="00F60C06" w:rsidRPr="002D6F59" w:rsidRDefault="00F60C06" w:rsidP="00067D87">
      <w:pPr>
        <w:jc w:val="both"/>
        <w:rPr>
          <w:rFonts w:ascii="Century Gothic" w:hAnsi="Century Gothic" w:cs="Arial"/>
          <w:shd w:val="clear" w:color="auto" w:fill="FFFFFF"/>
        </w:rPr>
      </w:pPr>
    </w:p>
    <w:p w14:paraId="450999EA" w14:textId="77777777" w:rsidR="00657CE7" w:rsidRPr="002D6F59"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 xml:space="preserve">De estos valores y principios estructurantes del Estado de derecho en el marco constitucional constituyen una razón a la reforma constitucional del artículo 34 que plantea el proyecto de acto legislativo el principio de la exigencia al Estado de protección de la vida y demás derechos y libertades, que frente a </w:t>
      </w:r>
      <w:r w:rsidRPr="002D6F59">
        <w:rPr>
          <w:rFonts w:ascii="Century Gothic" w:hAnsi="Century Gothic" w:cs="Arial"/>
          <w:shd w:val="clear" w:color="auto" w:fill="FFFFFF"/>
        </w:rPr>
        <w:lastRenderedPageBreak/>
        <w:t>los niños, niñas y adolescentes se encuentra reforzada por la aplicación del principio de igualdad del artículo 13 de la Constitución bajo la regla de justicia que obliga a adoptar una política o acción diferencial frente a un colectivo especialmente vulnerable, y en el artículo 44 que da a los derechos de los prevalencia sobre los demás, con lo cual constituyen un valor supremo de la sociedad que requieren que la protección de sus derechos se vea robustecida a través de los máximos esquemas posibles necesarios que les permitan desarrollar su personalidad de manera libre y exenta de peligros que nos los mancillen y humillen en su condición humana en desarrollo:</w:t>
      </w:r>
    </w:p>
    <w:p w14:paraId="1C628C4A" w14:textId="77777777" w:rsidR="00657CE7" w:rsidRPr="002D6F59" w:rsidRDefault="00657CE7" w:rsidP="00067D87">
      <w:pPr>
        <w:jc w:val="both"/>
        <w:rPr>
          <w:rFonts w:ascii="Century Gothic" w:hAnsi="Century Gothic" w:cs="Arial"/>
          <w:shd w:val="clear" w:color="auto" w:fill="FFFFFF"/>
        </w:rPr>
      </w:pPr>
    </w:p>
    <w:p w14:paraId="0BACA40A" w14:textId="77777777" w:rsidR="00657CE7" w:rsidRPr="002D6F59"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Si bien principios y derechos como la libertad y la igualdad no son absolutos, no parece razonable tener como limitantes al ejercicio de esos derechos por parte de los niños, niñas y adolescentes, limites externos que los cercenen, siendo obligatoria para el Estado, lo sociedad y la familia remover los obstáculos que no les permitan desarrollar su individualidad y autonomía por lo cual las medidas que se adopten para su protección mediante todos los recursos posibles.</w:t>
      </w:r>
    </w:p>
    <w:p w14:paraId="791DCD1A" w14:textId="77777777" w:rsidR="00657CE7" w:rsidRPr="002D6F59" w:rsidRDefault="00657CE7" w:rsidP="00067D87">
      <w:pPr>
        <w:jc w:val="both"/>
        <w:rPr>
          <w:rFonts w:ascii="Century Gothic" w:hAnsi="Century Gothic" w:cs="Arial"/>
          <w:shd w:val="clear" w:color="auto" w:fill="FFFFFF"/>
        </w:rPr>
      </w:pPr>
    </w:p>
    <w:p w14:paraId="1B08D2E7" w14:textId="5417B3F4" w:rsidR="00657CE7" w:rsidRPr="002D6F59"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Principios de igualdad y libertad que frente agresores a la vida y transgresión sexual de los niños, niñas y adolescentes, resulta lógico en el actuar constitucional su limitación cuando producto de su actuar consciente cometen actos aberrantes, condiciones que un niño, niña o adolescente no tiene la capacidad ni física, ni mental, ni emocional de resistir y que requieren desde lo constitucional, desde lo legal, desde el andamiaje estructural del Estado y por ende desde los esquemas de acceso a la justicia y su efectividad de medidas que les complementen  sus  capacidades humanas, aún incipi</w:t>
      </w:r>
      <w:r w:rsidR="00F60C06" w:rsidRPr="002D6F59">
        <w:rPr>
          <w:rFonts w:ascii="Century Gothic" w:hAnsi="Century Gothic" w:cs="Arial"/>
          <w:shd w:val="clear" w:color="auto" w:fill="FFFFFF"/>
        </w:rPr>
        <w:t>entes para afrontar violencias.</w:t>
      </w:r>
    </w:p>
    <w:p w14:paraId="0943B5ED" w14:textId="77777777" w:rsidR="00C704FE" w:rsidRPr="002D6F59" w:rsidRDefault="00C704FE" w:rsidP="00B17AB2">
      <w:pPr>
        <w:spacing w:line="276" w:lineRule="auto"/>
        <w:jc w:val="both"/>
        <w:rPr>
          <w:rFonts w:ascii="Century Gothic" w:hAnsi="Century Gothic" w:cs="Arial"/>
          <w:iCs/>
          <w:color w:val="2D2D2D"/>
          <w:bdr w:val="none" w:sz="0" w:space="0" w:color="auto" w:frame="1"/>
        </w:rPr>
      </w:pPr>
    </w:p>
    <w:p w14:paraId="77F8CF21" w14:textId="75740BB7" w:rsidR="00814CB0" w:rsidRPr="002D6F59" w:rsidRDefault="00141E7A" w:rsidP="00B17AB2">
      <w:pPr>
        <w:pStyle w:val="Prrafodelista"/>
        <w:numPr>
          <w:ilvl w:val="0"/>
          <w:numId w:val="46"/>
        </w:numPr>
        <w:spacing w:after="240"/>
        <w:jc w:val="both"/>
        <w:rPr>
          <w:rFonts w:ascii="Century Gothic" w:hAnsi="Century Gothic" w:cs="Arial"/>
          <w:b/>
        </w:rPr>
      </w:pPr>
      <w:r w:rsidRPr="002D6F59">
        <w:rPr>
          <w:rFonts w:ascii="Century Gothic" w:hAnsi="Century Gothic" w:cs="Arial"/>
          <w:b/>
        </w:rPr>
        <w:t>LAS CARGAS QUE NO CORRESPONDE ASUMIR A LOS NIÑOS, NIÑAS Y ADOLESCENTES SOPORTAR FRENTE AL DEBER DE PROTECCIÓN DEL ESTADO.</w:t>
      </w:r>
    </w:p>
    <w:p w14:paraId="050A92E3" w14:textId="77777777" w:rsidR="002E4C81" w:rsidRPr="002D6F59" w:rsidRDefault="002E4C81" w:rsidP="00B17AB2">
      <w:pPr>
        <w:spacing w:line="276" w:lineRule="auto"/>
        <w:jc w:val="both"/>
        <w:rPr>
          <w:rFonts w:ascii="Century Gothic" w:hAnsi="Century Gothic" w:cs="Arial"/>
        </w:rPr>
      </w:pPr>
      <w:r w:rsidRPr="002D6F59">
        <w:rPr>
          <w:rFonts w:ascii="Century Gothic" w:hAnsi="Century Gothic" w:cs="Arial"/>
        </w:rPr>
        <w:t xml:space="preserve">Se expone como un argumento contradictor que generar excepcionalmente la cadena perpetua en protección a los niños, niñas y adolescentes contra conductas delictivas de homicidio en modalidad dolosa o conductas sexuales que los vulneren, crea costos al Estado al mantener a un delincuente catalogado como peligroso para la sociedad y dentro de esa sociedad peligroso para un colectivo vulnerable representado por los niños. </w:t>
      </w:r>
    </w:p>
    <w:p w14:paraId="01B1B38F" w14:textId="77777777" w:rsidR="002E4C81" w:rsidRPr="002D6F59" w:rsidRDefault="002E4C81" w:rsidP="00067D87">
      <w:pPr>
        <w:jc w:val="both"/>
        <w:rPr>
          <w:rFonts w:ascii="Century Gothic" w:hAnsi="Century Gothic" w:cs="Arial"/>
        </w:rPr>
      </w:pPr>
    </w:p>
    <w:p w14:paraId="1942250E" w14:textId="77777777" w:rsidR="002E4C81" w:rsidRPr="002D6F59" w:rsidRDefault="002E4C81" w:rsidP="00B17AB2">
      <w:pPr>
        <w:spacing w:line="276" w:lineRule="auto"/>
        <w:jc w:val="both"/>
        <w:rPr>
          <w:rFonts w:ascii="Century Gothic" w:hAnsi="Century Gothic" w:cs="Arial"/>
          <w:i/>
          <w:iCs/>
          <w:bdr w:val="none" w:sz="0" w:space="0" w:color="auto" w:frame="1"/>
          <w:shd w:val="clear" w:color="auto" w:fill="FFFFFF"/>
        </w:rPr>
      </w:pPr>
      <w:r w:rsidRPr="002D6F59">
        <w:rPr>
          <w:rFonts w:ascii="Century Gothic" w:hAnsi="Century Gothic" w:cs="Arial"/>
        </w:rPr>
        <w:lastRenderedPageBreak/>
        <w:t>Existe un interés superior del niño de orden Constitucional y que la Corte Constitucional en sentencia T-338 de 2018 lo determina bajo los siguientes criterios: “</w:t>
      </w:r>
      <w:r w:rsidRPr="002D6F59">
        <w:rPr>
          <w:rFonts w:ascii="Century Gothic" w:hAnsi="Century Gothic" w:cs="Arial"/>
          <w:i/>
          <w:iCs/>
          <w:bdr w:val="none" w:sz="0" w:space="0" w:color="auto" w:frame="1"/>
          <w:shd w:val="clear" w:color="auto" w:fill="FFFFFF"/>
        </w:rPr>
        <w:t>Son criterios jurídicos para determinar el interés superior de los niños, niñas y adolescentes en un caso particular: (i) la garantía del desarrollo integral del menor de edad; (ii) la garantía de las condiciones necesarias para el pleno ejercicio de sus derechos fundamentales; (iii) la protección frente a riesgos prohibidos; (iv) el equilibrio de sus derechos con los de sus familiares (si se altera dicho equilibrio, debe adoptarse la decisión que mejor satisfaga los derechos de los niños, niñas y adolescentes); (v) la provisión de un ambiente familiar apto para su desarrollo; (vi) la necesidad de justificar con razones de peso la intervención del Estado en las relaciones familiares; y (vii) la evasión de cambios desfavorables en las condiciones de los niños involucrados. Adicionalmente, en desarrollos jurisprudenciales posteriores, se ha sumado a estos criterios, (viii) el respeto por el derecho de los niños y niñas a ser escuchados y de participar en las decisiones que los involucran.”</w:t>
      </w:r>
    </w:p>
    <w:p w14:paraId="19945518" w14:textId="77777777" w:rsidR="002E4C81" w:rsidRPr="002D6F59" w:rsidRDefault="002E4C81" w:rsidP="00067D87">
      <w:pPr>
        <w:jc w:val="both"/>
        <w:rPr>
          <w:rFonts w:ascii="Century Gothic" w:hAnsi="Century Gothic" w:cs="Arial"/>
          <w:i/>
          <w:iCs/>
          <w:bdr w:val="none" w:sz="0" w:space="0" w:color="auto" w:frame="1"/>
          <w:shd w:val="clear" w:color="auto" w:fill="FFFFFF"/>
        </w:rPr>
      </w:pPr>
    </w:p>
    <w:p w14:paraId="6A913D60" w14:textId="5FF936A6" w:rsidR="002E4C81" w:rsidRPr="002D6F59" w:rsidRDefault="002E4C81" w:rsidP="00B17AB2">
      <w:pPr>
        <w:spacing w:line="276" w:lineRule="auto"/>
        <w:jc w:val="both"/>
        <w:rPr>
          <w:rFonts w:ascii="Century Gothic" w:hAnsi="Century Gothic" w:cs="Arial"/>
          <w:iCs/>
          <w:bdr w:val="none" w:sz="0" w:space="0" w:color="auto" w:frame="1"/>
          <w:shd w:val="clear" w:color="auto" w:fill="FFFFFF"/>
        </w:rPr>
      </w:pPr>
      <w:r w:rsidRPr="002D6F59">
        <w:rPr>
          <w:rFonts w:ascii="Century Gothic" w:hAnsi="Century Gothic" w:cs="Arial"/>
          <w:iCs/>
          <w:bdr w:val="none" w:sz="0" w:space="0" w:color="auto" w:frame="1"/>
          <w:shd w:val="clear" w:color="auto" w:fill="FFFFFF"/>
        </w:rPr>
        <w:t xml:space="preserve">En ese orden no sólo el congreso está llamado a legislar con medidas que en acción positiva y excepcional protejan a los niños, niñas y adolescentes frente a riesgos prohibidos, como a garantizar su desarrollo integral y de las condiciones para el pleno ejercicio de sus derechos fundamentales, sino que este deber de protección reforzada para hacer efectivos los intereses superiores del niño, no pueden tener como limitante el costo de las medidas adoptadas, pues no solo los costos que puedan generarse en la aplicación excepcional de la cadena perpetua, no implican un costo que pueda considerarse </w:t>
      </w:r>
      <w:r w:rsidR="00F60C06" w:rsidRPr="002D6F59">
        <w:rPr>
          <w:rFonts w:ascii="Century Gothic" w:hAnsi="Century Gothic" w:cs="Arial"/>
          <w:iCs/>
          <w:bdr w:val="none" w:sz="0" w:space="0" w:color="auto" w:frame="1"/>
          <w:shd w:val="clear" w:color="auto" w:fill="FFFFFF"/>
        </w:rPr>
        <w:t>desequilibrante</w:t>
      </w:r>
      <w:r w:rsidRPr="002D6F59">
        <w:rPr>
          <w:rFonts w:ascii="Century Gothic" w:hAnsi="Century Gothic" w:cs="Arial"/>
          <w:iCs/>
          <w:bdr w:val="none" w:sz="0" w:space="0" w:color="auto" w:frame="1"/>
          <w:shd w:val="clear" w:color="auto" w:fill="FFFFFF"/>
        </w:rPr>
        <w:t xml:space="preserve"> del marco fiscal del Estado en el inmediato, mediano y largo plazo, sino que este tipo de argumentos implicaría que los menores deben asumir como carga grados elevados de desprotección de sus derechos y someterlo a valores intrínsecamente y extrínsecamente inferiores  como son el valor del ofensor y victimario causa al Estado al ser limitada su libertad por conductas delictivas contrariaras a bienes jurídicamente tutelados y de interés superior.</w:t>
      </w:r>
    </w:p>
    <w:p w14:paraId="60EC8CE6" w14:textId="77777777" w:rsidR="002E4C81" w:rsidRPr="002D6F59" w:rsidRDefault="002E4C81" w:rsidP="00067D87">
      <w:pPr>
        <w:jc w:val="both"/>
        <w:rPr>
          <w:rFonts w:ascii="Century Gothic" w:hAnsi="Century Gothic" w:cs="Arial"/>
          <w:iCs/>
          <w:bdr w:val="none" w:sz="0" w:space="0" w:color="auto" w:frame="1"/>
          <w:shd w:val="clear" w:color="auto" w:fill="FFFFFF"/>
        </w:rPr>
      </w:pPr>
    </w:p>
    <w:p w14:paraId="3C4EBBC1" w14:textId="57FE1779" w:rsidR="00C704FE" w:rsidRPr="002D6F59" w:rsidRDefault="002E4C81" w:rsidP="00B17AB2">
      <w:pPr>
        <w:spacing w:line="276" w:lineRule="auto"/>
        <w:jc w:val="both"/>
        <w:rPr>
          <w:rFonts w:ascii="Century Gothic" w:hAnsi="Century Gothic" w:cs="Arial"/>
        </w:rPr>
      </w:pPr>
      <w:r w:rsidRPr="002D6F59">
        <w:rPr>
          <w:rFonts w:ascii="Century Gothic" w:hAnsi="Century Gothic" w:cs="Arial"/>
          <w:iCs/>
          <w:bdr w:val="none" w:sz="0" w:space="0" w:color="auto" w:frame="1"/>
          <w:shd w:val="clear" w:color="auto" w:fill="FFFFFF"/>
        </w:rPr>
        <w:t>Este tipo de argumentos no sólo resultan incoherentes, sino que pretenden generar en los menores la carga de soportar una desprotección del Estado frente a sus intereses supremos, que no está en capacidad ni tiene el deber de soportar, pues imponerla implica dar al traste con la Constitución y los derechos que se le reconocen como plenos a los niños, niñas y adolescentes.</w:t>
      </w:r>
      <w:r w:rsidRPr="002D6F59">
        <w:rPr>
          <w:rFonts w:ascii="Century Gothic" w:hAnsi="Century Gothic" w:cs="Arial"/>
          <w:iCs/>
          <w:color w:val="2D2D2D"/>
          <w:bdr w:val="none" w:sz="0" w:space="0" w:color="auto" w:frame="1"/>
          <w:shd w:val="clear" w:color="auto" w:fill="FFFFFF"/>
        </w:rPr>
        <w:t xml:space="preserve"> </w:t>
      </w:r>
    </w:p>
    <w:p w14:paraId="00E1B2A0" w14:textId="77777777" w:rsidR="00814CB0" w:rsidRPr="002D6F59" w:rsidRDefault="00814CB0" w:rsidP="00B17AB2">
      <w:pPr>
        <w:pStyle w:val="Prrafodelista"/>
        <w:spacing w:after="0"/>
        <w:jc w:val="both"/>
        <w:rPr>
          <w:rFonts w:ascii="Century Gothic" w:hAnsi="Century Gothic" w:cs="Arial"/>
          <w:sz w:val="24"/>
          <w:szCs w:val="24"/>
        </w:rPr>
      </w:pPr>
    </w:p>
    <w:p w14:paraId="4ED59794" w14:textId="77777777" w:rsidR="00793F85" w:rsidRPr="002D6F59" w:rsidRDefault="00793F85" w:rsidP="00B17AB2">
      <w:pPr>
        <w:pStyle w:val="Prrafodelista"/>
        <w:numPr>
          <w:ilvl w:val="0"/>
          <w:numId w:val="25"/>
        </w:numPr>
        <w:spacing w:after="0"/>
        <w:jc w:val="center"/>
        <w:rPr>
          <w:rFonts w:ascii="Century Gothic" w:hAnsi="Century Gothic" w:cs="Arial"/>
          <w:sz w:val="24"/>
          <w:szCs w:val="24"/>
        </w:rPr>
      </w:pPr>
      <w:r w:rsidRPr="002D6F59">
        <w:rPr>
          <w:rFonts w:ascii="Century Gothic" w:hAnsi="Century Gothic" w:cs="Arial"/>
          <w:b/>
          <w:caps/>
          <w:sz w:val="24"/>
          <w:szCs w:val="24"/>
        </w:rPr>
        <w:lastRenderedPageBreak/>
        <w:t>PLIEGO DE MODIFICACIONES</w:t>
      </w:r>
    </w:p>
    <w:p w14:paraId="7324E35A" w14:textId="77777777" w:rsidR="00793F85" w:rsidRPr="002D6F59" w:rsidRDefault="00793F85" w:rsidP="00B17AB2">
      <w:pPr>
        <w:pStyle w:val="Prrafodelista"/>
        <w:ind w:left="360"/>
        <w:rPr>
          <w:rFonts w:ascii="Century Gothic" w:hAnsi="Century Gothic" w:cs="Arial"/>
          <w:sz w:val="24"/>
          <w:szCs w:val="24"/>
        </w:rPr>
      </w:pPr>
    </w:p>
    <w:tbl>
      <w:tblPr>
        <w:tblStyle w:val="Tablaconcuadrcula"/>
        <w:tblW w:w="10206" w:type="dxa"/>
        <w:tblInd w:w="-572" w:type="dxa"/>
        <w:tblLook w:val="04A0" w:firstRow="1" w:lastRow="0" w:firstColumn="1" w:lastColumn="0" w:noHBand="0" w:noVBand="1"/>
      </w:tblPr>
      <w:tblGrid>
        <w:gridCol w:w="2552"/>
        <w:gridCol w:w="2452"/>
        <w:gridCol w:w="2592"/>
        <w:gridCol w:w="2610"/>
      </w:tblGrid>
      <w:tr w:rsidR="00793F85" w:rsidRPr="002D6F59" w14:paraId="63C615EE" w14:textId="77777777" w:rsidTr="00322F27">
        <w:tc>
          <w:tcPr>
            <w:tcW w:w="5004" w:type="dxa"/>
            <w:gridSpan w:val="2"/>
          </w:tcPr>
          <w:p w14:paraId="6932E4AF" w14:textId="77777777" w:rsidR="00793F85" w:rsidRPr="00FF562B" w:rsidRDefault="00793F85" w:rsidP="00B17AB2">
            <w:pPr>
              <w:pStyle w:val="Prrafodelista"/>
              <w:ind w:left="0"/>
              <w:jc w:val="center"/>
              <w:rPr>
                <w:rFonts w:ascii="Century Gothic" w:hAnsi="Century Gothic" w:cs="Arial"/>
                <w:b/>
                <w:sz w:val="24"/>
                <w:szCs w:val="24"/>
              </w:rPr>
            </w:pPr>
            <w:r w:rsidRPr="00FF562B">
              <w:rPr>
                <w:rFonts w:ascii="Century Gothic" w:hAnsi="Century Gothic" w:cs="Arial"/>
                <w:b/>
                <w:sz w:val="24"/>
                <w:szCs w:val="24"/>
              </w:rPr>
              <w:t>TEXTO PROYECTOS DE ACTO LEGISLATIVO ACUMULADOS</w:t>
            </w:r>
          </w:p>
        </w:tc>
        <w:tc>
          <w:tcPr>
            <w:tcW w:w="2592" w:type="dxa"/>
          </w:tcPr>
          <w:p w14:paraId="607C0A7A" w14:textId="77777777" w:rsidR="00793F85" w:rsidRPr="00FF562B" w:rsidRDefault="00793F85" w:rsidP="00B17AB2">
            <w:pPr>
              <w:pStyle w:val="Prrafodelista"/>
              <w:ind w:left="0"/>
              <w:jc w:val="center"/>
              <w:rPr>
                <w:rFonts w:ascii="Century Gothic" w:hAnsi="Century Gothic" w:cs="Arial"/>
                <w:sz w:val="24"/>
                <w:szCs w:val="24"/>
              </w:rPr>
            </w:pPr>
            <w:r w:rsidRPr="00FF562B">
              <w:rPr>
                <w:rFonts w:ascii="Century Gothic" w:hAnsi="Century Gothic" w:cs="Arial"/>
                <w:b/>
                <w:sz w:val="24"/>
                <w:szCs w:val="24"/>
              </w:rPr>
              <w:t>TEXTO PROPUESTO PARA PRIMER DEBATE EN CÁMARA</w:t>
            </w:r>
          </w:p>
        </w:tc>
        <w:tc>
          <w:tcPr>
            <w:tcW w:w="2610" w:type="dxa"/>
          </w:tcPr>
          <w:p w14:paraId="11AAE2A9" w14:textId="77777777" w:rsidR="00793F85" w:rsidRPr="00FF562B" w:rsidRDefault="00793F85" w:rsidP="00B17AB2">
            <w:pPr>
              <w:pStyle w:val="Prrafodelista"/>
              <w:ind w:left="0"/>
              <w:jc w:val="center"/>
              <w:rPr>
                <w:rFonts w:ascii="Century Gothic" w:hAnsi="Century Gothic" w:cs="Arial"/>
                <w:b/>
                <w:sz w:val="24"/>
                <w:szCs w:val="24"/>
              </w:rPr>
            </w:pPr>
            <w:r w:rsidRPr="00FF562B">
              <w:rPr>
                <w:rFonts w:ascii="Century Gothic" w:hAnsi="Century Gothic" w:cs="Arial"/>
                <w:b/>
                <w:sz w:val="24"/>
                <w:szCs w:val="24"/>
              </w:rPr>
              <w:t>COMENTARIOS</w:t>
            </w:r>
          </w:p>
        </w:tc>
      </w:tr>
      <w:tr w:rsidR="00793F85" w:rsidRPr="002D6F59" w14:paraId="6831BEDA" w14:textId="77777777" w:rsidTr="00322F27">
        <w:tc>
          <w:tcPr>
            <w:tcW w:w="2552" w:type="dxa"/>
          </w:tcPr>
          <w:p w14:paraId="41442F91" w14:textId="77777777" w:rsidR="00793F85" w:rsidRPr="00FF562B" w:rsidRDefault="00793F85" w:rsidP="00B17AB2">
            <w:pPr>
              <w:spacing w:line="276" w:lineRule="auto"/>
              <w:jc w:val="center"/>
              <w:rPr>
                <w:rFonts w:ascii="Century Gothic" w:eastAsia="Times New Roman" w:hAnsi="Century Gothic" w:cs="Arial"/>
              </w:rPr>
            </w:pPr>
            <w:r w:rsidRPr="00FF562B">
              <w:rPr>
                <w:rFonts w:ascii="Century Gothic" w:eastAsia="Times New Roman" w:hAnsi="Century Gothic" w:cs="Arial"/>
              </w:rPr>
              <w:t>Proyecto de Acto legislativo N. 001 de 2019 Cámara</w:t>
            </w:r>
          </w:p>
        </w:tc>
        <w:tc>
          <w:tcPr>
            <w:tcW w:w="2452" w:type="dxa"/>
          </w:tcPr>
          <w:p w14:paraId="6FE19AED" w14:textId="77777777" w:rsidR="00793F85" w:rsidRPr="00FF562B" w:rsidRDefault="00793F85" w:rsidP="00B17AB2">
            <w:pPr>
              <w:pStyle w:val="Prrafodelista"/>
              <w:ind w:left="0"/>
              <w:jc w:val="center"/>
              <w:rPr>
                <w:rFonts w:ascii="Century Gothic" w:eastAsia="Times New Roman" w:hAnsi="Century Gothic" w:cs="Arial"/>
                <w:sz w:val="24"/>
                <w:szCs w:val="24"/>
              </w:rPr>
            </w:pPr>
            <w:r w:rsidRPr="00FF562B">
              <w:rPr>
                <w:rFonts w:ascii="Century Gothic" w:eastAsia="Times New Roman" w:hAnsi="Century Gothic" w:cs="Arial"/>
                <w:sz w:val="24"/>
                <w:szCs w:val="24"/>
              </w:rPr>
              <w:t>Proyecto de Acto legislativo N. 047 de 2019 Cámara</w:t>
            </w:r>
          </w:p>
        </w:tc>
        <w:tc>
          <w:tcPr>
            <w:tcW w:w="2592" w:type="dxa"/>
          </w:tcPr>
          <w:p w14:paraId="3D015A5A" w14:textId="77777777" w:rsidR="00793F85" w:rsidRPr="00FF562B" w:rsidRDefault="00793F85" w:rsidP="00B17AB2">
            <w:pPr>
              <w:pStyle w:val="Prrafodelista"/>
              <w:ind w:left="0"/>
              <w:jc w:val="center"/>
              <w:rPr>
                <w:rFonts w:ascii="Century Gothic" w:hAnsi="Century Gothic" w:cs="Arial"/>
                <w:sz w:val="24"/>
                <w:szCs w:val="24"/>
              </w:rPr>
            </w:pPr>
            <w:r w:rsidRPr="00FF562B">
              <w:rPr>
                <w:rFonts w:ascii="Century Gothic" w:eastAsia="Times New Roman" w:hAnsi="Century Gothic" w:cs="Arial"/>
                <w:sz w:val="24"/>
                <w:szCs w:val="24"/>
              </w:rPr>
              <w:t>Proyecto de Acto legislativo N. 001 de 2019 Cámara acumulado con el Proyecto de Acto legislativo N. 047 de 2019 Cámara</w:t>
            </w:r>
          </w:p>
        </w:tc>
        <w:tc>
          <w:tcPr>
            <w:tcW w:w="2610" w:type="dxa"/>
          </w:tcPr>
          <w:p w14:paraId="77F40A08" w14:textId="77777777" w:rsidR="00793F85" w:rsidRPr="00FF562B" w:rsidRDefault="00793F85" w:rsidP="00B17AB2">
            <w:pPr>
              <w:pStyle w:val="Prrafodelista"/>
              <w:ind w:left="0"/>
              <w:rPr>
                <w:rFonts w:ascii="Century Gothic" w:hAnsi="Century Gothic" w:cs="Arial"/>
                <w:sz w:val="24"/>
                <w:szCs w:val="24"/>
              </w:rPr>
            </w:pPr>
          </w:p>
        </w:tc>
      </w:tr>
      <w:tr w:rsidR="00793F85" w:rsidRPr="002D6F59" w14:paraId="6FA4DF73" w14:textId="77777777" w:rsidTr="00322F27">
        <w:tc>
          <w:tcPr>
            <w:tcW w:w="2552" w:type="dxa"/>
          </w:tcPr>
          <w:p w14:paraId="5773AB67" w14:textId="77777777" w:rsidR="00793F85" w:rsidRPr="00FF562B" w:rsidRDefault="00793F85" w:rsidP="00B17AB2">
            <w:pPr>
              <w:pStyle w:val="Prrafodelista"/>
              <w:ind w:left="0"/>
              <w:jc w:val="center"/>
              <w:rPr>
                <w:rFonts w:ascii="Century Gothic" w:hAnsi="Century Gothic" w:cs="Arial"/>
                <w:sz w:val="24"/>
                <w:szCs w:val="24"/>
              </w:rPr>
            </w:pPr>
            <w:r w:rsidRPr="00FF562B">
              <w:rPr>
                <w:rFonts w:ascii="Century Gothic" w:eastAsia="Times New Roman" w:hAnsi="Century Gothic" w:cs="Arial"/>
                <w:i/>
                <w:sz w:val="24"/>
                <w:szCs w:val="24"/>
              </w:rPr>
              <w:t xml:space="preserve">Por medio del cual se modifica el artículo 34 de la Constitución Política, suprimiendo la prohibición de la pena de prisión perpetua y estableciendo la prisión perpetua revisable - </w:t>
            </w:r>
            <w:r w:rsidRPr="00FF562B">
              <w:rPr>
                <w:rFonts w:ascii="Century Gothic" w:eastAsia="Times New Roman" w:hAnsi="Century Gothic" w:cs="Arial"/>
                <w:sz w:val="24"/>
                <w:szCs w:val="24"/>
              </w:rPr>
              <w:t>En memoria de Gilma Jiménez.</w:t>
            </w:r>
          </w:p>
        </w:tc>
        <w:tc>
          <w:tcPr>
            <w:tcW w:w="2452" w:type="dxa"/>
          </w:tcPr>
          <w:p w14:paraId="0B837213" w14:textId="77777777" w:rsidR="00793F85" w:rsidRPr="00FF562B" w:rsidRDefault="00793F85" w:rsidP="00B17AB2">
            <w:pPr>
              <w:pStyle w:val="Prrafodelista"/>
              <w:ind w:left="0"/>
              <w:jc w:val="center"/>
              <w:rPr>
                <w:rFonts w:ascii="Century Gothic" w:eastAsia="Times New Roman" w:hAnsi="Century Gothic" w:cs="Arial"/>
                <w:i/>
                <w:sz w:val="24"/>
                <w:szCs w:val="24"/>
              </w:rPr>
            </w:pPr>
            <w:r w:rsidRPr="00FF562B">
              <w:rPr>
                <w:rFonts w:ascii="Century Gothic" w:eastAsia="Times New Roman" w:hAnsi="Century Gothic" w:cs="Arial"/>
                <w:i/>
                <w:sz w:val="24"/>
                <w:szCs w:val="24"/>
              </w:rPr>
              <w:t>Por medio del cual se modifica el artículo 34 de la Constitución Política, estableciendo la pena de prisión perpetua revisable, y se dictan otras disposiciones.</w:t>
            </w:r>
          </w:p>
        </w:tc>
        <w:tc>
          <w:tcPr>
            <w:tcW w:w="2592" w:type="dxa"/>
          </w:tcPr>
          <w:p w14:paraId="4CBC0CB5" w14:textId="273B118D" w:rsidR="00793F85" w:rsidRPr="00FF562B" w:rsidRDefault="00793F85" w:rsidP="00B17AB2">
            <w:pPr>
              <w:pStyle w:val="Prrafodelista"/>
              <w:ind w:left="0"/>
              <w:jc w:val="center"/>
              <w:rPr>
                <w:rFonts w:ascii="Century Gothic" w:hAnsi="Century Gothic" w:cs="Arial"/>
                <w:sz w:val="24"/>
                <w:szCs w:val="24"/>
              </w:rPr>
            </w:pPr>
            <w:r w:rsidRPr="00FF562B">
              <w:rPr>
                <w:rFonts w:ascii="Century Gothic" w:eastAsia="Times New Roman" w:hAnsi="Century Gothic" w:cs="Arial"/>
                <w:i/>
                <w:sz w:val="24"/>
                <w:szCs w:val="24"/>
              </w:rPr>
              <w:t xml:space="preserve">Por medio del cual se modifica el artículo 34 de la Constitución Política, suprimiendo la prohibición de la pena de prisión perpetua y estableciendo la prisión perpetua revisable - </w:t>
            </w:r>
            <w:r w:rsidRPr="00FF562B">
              <w:rPr>
                <w:rFonts w:ascii="Century Gothic" w:eastAsia="Times New Roman" w:hAnsi="Century Gothic" w:cs="Arial"/>
                <w:sz w:val="24"/>
                <w:szCs w:val="24"/>
              </w:rPr>
              <w:t>En memoria de Gilma Jiménez</w:t>
            </w:r>
            <w:r w:rsidR="005018BA" w:rsidRPr="00FF562B">
              <w:rPr>
                <w:rFonts w:ascii="Century Gothic" w:eastAsia="Times New Roman" w:hAnsi="Century Gothic" w:cs="Arial"/>
                <w:sz w:val="24"/>
                <w:szCs w:val="24"/>
              </w:rPr>
              <w:t>.</w:t>
            </w:r>
          </w:p>
        </w:tc>
        <w:tc>
          <w:tcPr>
            <w:tcW w:w="2610" w:type="dxa"/>
          </w:tcPr>
          <w:p w14:paraId="6540525E" w14:textId="3E99F40A" w:rsidR="00793F85" w:rsidRPr="00FF562B" w:rsidRDefault="00825836" w:rsidP="00B17AB2">
            <w:pPr>
              <w:pStyle w:val="Prrafodelista"/>
              <w:ind w:left="0"/>
              <w:jc w:val="both"/>
              <w:rPr>
                <w:rFonts w:ascii="Century Gothic" w:hAnsi="Century Gothic" w:cs="Arial"/>
                <w:sz w:val="24"/>
                <w:szCs w:val="24"/>
              </w:rPr>
            </w:pPr>
            <w:r w:rsidRPr="00FF562B">
              <w:rPr>
                <w:rFonts w:ascii="Century Gothic" w:eastAsia="Times New Roman" w:hAnsi="Century Gothic" w:cs="Arial"/>
                <w:sz w:val="24"/>
                <w:szCs w:val="24"/>
              </w:rPr>
              <w:t>Se acoge el texto del Proyecto de Acto legislativo N. 001 de 2019 Cámara.</w:t>
            </w:r>
          </w:p>
        </w:tc>
      </w:tr>
      <w:tr w:rsidR="00793F85" w:rsidRPr="002D6F59" w14:paraId="39690328" w14:textId="77777777" w:rsidTr="00322F27">
        <w:tc>
          <w:tcPr>
            <w:tcW w:w="2552" w:type="dxa"/>
          </w:tcPr>
          <w:p w14:paraId="231D2FEC" w14:textId="77777777"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b/>
                <w:sz w:val="24"/>
                <w:szCs w:val="24"/>
              </w:rPr>
              <w:t>Artículo 1°.</w:t>
            </w:r>
            <w:r w:rsidRPr="00FF562B">
              <w:rPr>
                <w:rFonts w:ascii="Century Gothic" w:eastAsia="Times New Roman" w:hAnsi="Century Gothic" w:cs="Arial"/>
                <w:sz w:val="24"/>
                <w:szCs w:val="24"/>
              </w:rPr>
              <w:t xml:space="preserve"> Modifíquese el artículo 34 de la Constitución Política, el cual quedará así: </w:t>
            </w:r>
          </w:p>
          <w:p w14:paraId="31C42F00" w14:textId="77777777" w:rsidR="00793F85" w:rsidRPr="00FF562B" w:rsidRDefault="00793F85" w:rsidP="00B17AB2">
            <w:pPr>
              <w:pStyle w:val="Prrafodelista"/>
              <w:ind w:left="0"/>
              <w:jc w:val="both"/>
              <w:rPr>
                <w:rFonts w:ascii="Century Gothic" w:eastAsia="Times New Roman" w:hAnsi="Century Gothic" w:cs="Arial"/>
                <w:sz w:val="24"/>
                <w:szCs w:val="24"/>
              </w:rPr>
            </w:pPr>
          </w:p>
          <w:p w14:paraId="4E4BEAAA" w14:textId="77777777"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t xml:space="preserve">Artículo 34. Se prohíben penas de destierro y confiscación. </w:t>
            </w:r>
          </w:p>
          <w:p w14:paraId="46BB3DDA" w14:textId="021965D0"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lastRenderedPageBreak/>
              <w:t xml:space="preserve">No obstante, por sentencia judicial, se declara extinguido el dominio sobre los bienes adquiridos mediante enriquecimiento ilícito, en perjuicio del Tesoro Público o con grave deterioro de la moral social. </w:t>
            </w:r>
          </w:p>
          <w:p w14:paraId="1840BDEC" w14:textId="77777777" w:rsidR="00793F85" w:rsidRPr="00FF562B" w:rsidRDefault="00793F85" w:rsidP="00B17AB2">
            <w:pPr>
              <w:pStyle w:val="Prrafodelista"/>
              <w:ind w:left="0"/>
              <w:jc w:val="both"/>
              <w:rPr>
                <w:rFonts w:ascii="Century Gothic" w:eastAsia="Times New Roman" w:hAnsi="Century Gothic" w:cs="Arial"/>
                <w:sz w:val="24"/>
                <w:szCs w:val="24"/>
              </w:rPr>
            </w:pPr>
          </w:p>
          <w:p w14:paraId="06C2C587" w14:textId="77777777"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t xml:space="preserve">De manera excepcional, cuando se cometan los delitos de homicidio doloso, secuestro, tortura, acceso carnal o actos sexuales abusivos con menor de 14 años; se podrá imponer hasta la pena de prisión perpetua. </w:t>
            </w:r>
          </w:p>
          <w:p w14:paraId="792087C2" w14:textId="77777777" w:rsidR="00793F85" w:rsidRPr="00FF562B" w:rsidRDefault="00793F85" w:rsidP="00B17AB2">
            <w:pPr>
              <w:pStyle w:val="Prrafodelista"/>
              <w:ind w:left="0"/>
              <w:jc w:val="both"/>
              <w:rPr>
                <w:rFonts w:ascii="Century Gothic" w:eastAsia="Times New Roman" w:hAnsi="Century Gothic" w:cs="Arial"/>
                <w:sz w:val="24"/>
                <w:szCs w:val="24"/>
              </w:rPr>
            </w:pPr>
          </w:p>
          <w:p w14:paraId="700514C3" w14:textId="77777777" w:rsidR="00793F85" w:rsidRPr="00FF562B" w:rsidRDefault="00793F85" w:rsidP="00B17AB2">
            <w:pPr>
              <w:pStyle w:val="Prrafodelista"/>
              <w:ind w:left="0"/>
              <w:jc w:val="both"/>
              <w:rPr>
                <w:rFonts w:ascii="Century Gothic" w:hAnsi="Century Gothic" w:cs="Arial"/>
                <w:sz w:val="24"/>
                <w:szCs w:val="24"/>
              </w:rPr>
            </w:pPr>
            <w:r w:rsidRPr="00FF562B">
              <w:rPr>
                <w:rFonts w:ascii="Century Gothic" w:eastAsia="Times New Roman" w:hAnsi="Century Gothic" w:cs="Arial"/>
                <w:sz w:val="24"/>
                <w:szCs w:val="24"/>
              </w:rPr>
              <w:t>En todo caso la pena será revisable en un plazo de treinta años (30) en los términos que establezca la ley.</w:t>
            </w:r>
          </w:p>
        </w:tc>
        <w:tc>
          <w:tcPr>
            <w:tcW w:w="2452" w:type="dxa"/>
          </w:tcPr>
          <w:p w14:paraId="0DFA5D47" w14:textId="77777777"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b/>
                <w:sz w:val="24"/>
                <w:szCs w:val="24"/>
              </w:rPr>
              <w:lastRenderedPageBreak/>
              <w:t>Artículo 1º.</w:t>
            </w:r>
            <w:r w:rsidRPr="00FF562B">
              <w:rPr>
                <w:rFonts w:ascii="Century Gothic" w:eastAsia="Times New Roman" w:hAnsi="Century Gothic" w:cs="Arial"/>
                <w:sz w:val="24"/>
                <w:szCs w:val="24"/>
              </w:rPr>
              <w:t xml:space="preserve"> Modifíquese el artículo 34 de la Constitución Política, el cual quedará así: </w:t>
            </w:r>
          </w:p>
          <w:p w14:paraId="58D91793" w14:textId="77777777" w:rsidR="00793F85" w:rsidRPr="00FF562B" w:rsidRDefault="00793F85" w:rsidP="00B17AB2">
            <w:pPr>
              <w:pStyle w:val="Prrafodelista"/>
              <w:ind w:left="0"/>
              <w:jc w:val="both"/>
              <w:rPr>
                <w:rFonts w:ascii="Century Gothic" w:eastAsia="Times New Roman" w:hAnsi="Century Gothic" w:cs="Arial"/>
                <w:sz w:val="24"/>
                <w:szCs w:val="24"/>
              </w:rPr>
            </w:pPr>
          </w:p>
          <w:p w14:paraId="1B6A57BE" w14:textId="77777777"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t xml:space="preserve">Artículo 34. Se prohíben las penas de destierro y confiscación. </w:t>
            </w:r>
          </w:p>
          <w:p w14:paraId="09EB6D6E" w14:textId="23639FA0"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lastRenderedPageBreak/>
              <w:t xml:space="preserve">No obstante, por sentencia judicial, se declarará extinguido el dominio sobre los bienes adquiridos mediante enriquecimiento ilícito, en perjuicio del Tesoro Público o con grave deterioro de la moral social. </w:t>
            </w:r>
          </w:p>
          <w:p w14:paraId="27D1D33A" w14:textId="77777777" w:rsidR="00793F85" w:rsidRPr="00FF562B" w:rsidRDefault="00793F85" w:rsidP="00B17AB2">
            <w:pPr>
              <w:pStyle w:val="Prrafodelista"/>
              <w:ind w:left="0"/>
              <w:jc w:val="both"/>
              <w:rPr>
                <w:rFonts w:ascii="Century Gothic" w:eastAsia="Times New Roman" w:hAnsi="Century Gothic" w:cs="Arial"/>
                <w:sz w:val="24"/>
                <w:szCs w:val="24"/>
              </w:rPr>
            </w:pPr>
          </w:p>
          <w:p w14:paraId="37A12FBD" w14:textId="77777777"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t xml:space="preserve">En el evento en el que se cometan los delitos de homicidio doloso, secuestro o acceso carnal violento contra menores de 14 años o personas en condición de discapacidad física y/o mental, se podrá imponer hasta la pena de prisión perpetua revisable. </w:t>
            </w:r>
          </w:p>
          <w:p w14:paraId="511AC2FC" w14:textId="053892DF"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t>La ley determinará el término de revisión de la pena de prisión perpetua, que en todo caso no podrá ser inferior a treinta (30) años.</w:t>
            </w:r>
          </w:p>
        </w:tc>
        <w:tc>
          <w:tcPr>
            <w:tcW w:w="2592" w:type="dxa"/>
            <w:shd w:val="clear" w:color="auto" w:fill="FFFFFF" w:themeFill="background1"/>
          </w:tcPr>
          <w:p w14:paraId="0AB72746" w14:textId="77777777"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b/>
                <w:sz w:val="24"/>
                <w:szCs w:val="24"/>
              </w:rPr>
              <w:lastRenderedPageBreak/>
              <w:t>Artículo 1°.</w:t>
            </w:r>
            <w:r w:rsidRPr="00FF562B">
              <w:rPr>
                <w:rFonts w:ascii="Century Gothic" w:eastAsia="Times New Roman" w:hAnsi="Century Gothic" w:cs="Arial"/>
                <w:sz w:val="24"/>
                <w:szCs w:val="24"/>
              </w:rPr>
              <w:t xml:space="preserve"> Modifíquese el artículo 34 de la Constitución Política, el cual quedará así: </w:t>
            </w:r>
          </w:p>
          <w:p w14:paraId="2F6A6739" w14:textId="77777777" w:rsidR="00793F85" w:rsidRPr="00FF562B" w:rsidRDefault="00793F85" w:rsidP="00B17AB2">
            <w:pPr>
              <w:pStyle w:val="Prrafodelista"/>
              <w:ind w:left="0"/>
              <w:jc w:val="both"/>
              <w:rPr>
                <w:rFonts w:ascii="Century Gothic" w:eastAsia="Times New Roman" w:hAnsi="Century Gothic" w:cs="Arial"/>
                <w:sz w:val="24"/>
                <w:szCs w:val="24"/>
              </w:rPr>
            </w:pPr>
          </w:p>
          <w:p w14:paraId="2006B16D" w14:textId="77777777"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t xml:space="preserve">Artículo 34. Se prohíben penas de destierro y confiscación. </w:t>
            </w:r>
          </w:p>
          <w:p w14:paraId="6D4995BF" w14:textId="3FEF8668" w:rsidR="00793F85" w:rsidRPr="00FF562B" w:rsidRDefault="00793F85"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lastRenderedPageBreak/>
              <w:t xml:space="preserve">No obstante, por sentencia judicial, se declara extinguido el dominio sobre los bienes adquiridos mediante enriquecimiento ilícito, en perjuicio del Tesoro Público o con grave deterioro de la moral social. </w:t>
            </w:r>
          </w:p>
          <w:p w14:paraId="3B02B7D3" w14:textId="77777777" w:rsidR="00793F85" w:rsidRPr="00FF562B" w:rsidRDefault="00793F85" w:rsidP="00B17AB2">
            <w:pPr>
              <w:pStyle w:val="Prrafodelista"/>
              <w:ind w:left="0"/>
              <w:jc w:val="both"/>
              <w:rPr>
                <w:rFonts w:ascii="Century Gothic" w:eastAsia="Times New Roman" w:hAnsi="Century Gothic" w:cs="Arial"/>
                <w:sz w:val="24"/>
                <w:szCs w:val="24"/>
              </w:rPr>
            </w:pPr>
          </w:p>
          <w:p w14:paraId="1CF25EC2" w14:textId="245C2CFD" w:rsidR="00F60C06" w:rsidRPr="00FF562B" w:rsidRDefault="00F60C06" w:rsidP="00B17AB2">
            <w:pPr>
              <w:pStyle w:val="Prrafodelista"/>
              <w:ind w:left="0"/>
              <w:jc w:val="both"/>
              <w:rPr>
                <w:rFonts w:ascii="Century Gothic" w:eastAsia="Times New Roman" w:hAnsi="Century Gothic" w:cs="Arial"/>
                <w:sz w:val="24"/>
                <w:szCs w:val="24"/>
              </w:rPr>
            </w:pPr>
            <w:r w:rsidRPr="00FF562B">
              <w:rPr>
                <w:rFonts w:ascii="Century Gothic" w:eastAsia="Times New Roman" w:hAnsi="Century Gothic" w:cs="Arial"/>
                <w:sz w:val="24"/>
                <w:szCs w:val="24"/>
              </w:rPr>
              <w:t xml:space="preserve">De manera excepcional cuando </w:t>
            </w:r>
            <w:r w:rsidRPr="00FF562B">
              <w:rPr>
                <w:rFonts w:ascii="Century Gothic" w:eastAsia="Times New Roman" w:hAnsi="Century Gothic" w:cs="Arial"/>
                <w:b/>
                <w:sz w:val="24"/>
                <w:szCs w:val="24"/>
                <w:u w:val="single"/>
              </w:rPr>
              <w:t>un niño, niña o adolescente sea víctima de las conductas de</w:t>
            </w:r>
            <w:r w:rsidRPr="00FF562B">
              <w:rPr>
                <w:rFonts w:ascii="Century Gothic" w:eastAsia="Times New Roman" w:hAnsi="Century Gothic" w:cs="Arial"/>
                <w:sz w:val="24"/>
                <w:szCs w:val="24"/>
              </w:rPr>
              <w:t xml:space="preserve"> homicidio </w:t>
            </w:r>
            <w:r w:rsidRPr="00FF562B">
              <w:rPr>
                <w:rFonts w:ascii="Century Gothic" w:eastAsia="Times New Roman" w:hAnsi="Century Gothic" w:cs="Arial"/>
                <w:b/>
                <w:sz w:val="24"/>
                <w:szCs w:val="24"/>
                <w:u w:val="single"/>
              </w:rPr>
              <w:t>en modalidad dolosa</w:t>
            </w:r>
            <w:r w:rsidRPr="00FF562B">
              <w:rPr>
                <w:rFonts w:ascii="Century Gothic" w:eastAsia="Times New Roman" w:hAnsi="Century Gothic" w:cs="Arial"/>
                <w:sz w:val="24"/>
                <w:szCs w:val="24"/>
              </w:rPr>
              <w:t xml:space="preserve">, acceso carnal o actos sexuales </w:t>
            </w:r>
            <w:r w:rsidRPr="00FF562B">
              <w:rPr>
                <w:rFonts w:ascii="Century Gothic" w:eastAsia="Times New Roman" w:hAnsi="Century Gothic" w:cs="Arial"/>
                <w:b/>
                <w:sz w:val="24"/>
                <w:szCs w:val="24"/>
                <w:u w:val="single"/>
              </w:rPr>
              <w:t>que impliqu</w:t>
            </w:r>
            <w:r w:rsidR="003952E7" w:rsidRPr="00FF562B">
              <w:rPr>
                <w:rFonts w:ascii="Century Gothic" w:eastAsia="Times New Roman" w:hAnsi="Century Gothic" w:cs="Arial"/>
                <w:b/>
                <w:sz w:val="24"/>
                <w:szCs w:val="24"/>
                <w:u w:val="single"/>
              </w:rPr>
              <w:t xml:space="preserve">en violencia o </w:t>
            </w:r>
            <w:r w:rsidRPr="00FF562B">
              <w:rPr>
                <w:rFonts w:ascii="Century Gothic" w:eastAsia="Times New Roman" w:hAnsi="Century Gothic" w:cs="Arial"/>
                <w:b/>
                <w:sz w:val="24"/>
                <w:szCs w:val="24"/>
                <w:u w:val="single"/>
              </w:rPr>
              <w:t>esté en incapacidad de resistir,</w:t>
            </w:r>
            <w:r w:rsidRPr="00FF562B">
              <w:rPr>
                <w:rFonts w:ascii="Century Gothic" w:eastAsia="Times New Roman" w:hAnsi="Century Gothic" w:cs="Arial"/>
                <w:sz w:val="24"/>
                <w:szCs w:val="24"/>
              </w:rPr>
              <w:t xml:space="preserve"> se podrá imponer </w:t>
            </w:r>
            <w:r w:rsidRPr="00FF562B">
              <w:rPr>
                <w:rFonts w:ascii="Century Gothic" w:eastAsia="Times New Roman" w:hAnsi="Century Gothic" w:cs="Arial"/>
                <w:b/>
                <w:sz w:val="24"/>
                <w:szCs w:val="24"/>
                <w:u w:val="single"/>
              </w:rPr>
              <w:t>como sanción</w:t>
            </w:r>
            <w:r w:rsidRPr="00FF562B">
              <w:rPr>
                <w:rFonts w:ascii="Century Gothic" w:eastAsia="Times New Roman" w:hAnsi="Century Gothic" w:cs="Arial"/>
                <w:b/>
                <w:sz w:val="24"/>
                <w:szCs w:val="24"/>
              </w:rPr>
              <w:t xml:space="preserve"> </w:t>
            </w:r>
            <w:r w:rsidRPr="00FF562B">
              <w:rPr>
                <w:rFonts w:ascii="Century Gothic" w:eastAsia="Times New Roman" w:hAnsi="Century Gothic" w:cs="Arial"/>
                <w:sz w:val="24"/>
                <w:szCs w:val="24"/>
              </w:rPr>
              <w:t>hasta la pena de prisión perpetua.</w:t>
            </w:r>
          </w:p>
          <w:p w14:paraId="1929F013" w14:textId="77777777" w:rsidR="00F60C06" w:rsidRPr="00FF562B" w:rsidRDefault="00F60C06" w:rsidP="00B17AB2">
            <w:pPr>
              <w:pStyle w:val="Prrafodelista"/>
              <w:spacing w:after="0"/>
              <w:ind w:left="0"/>
              <w:jc w:val="both"/>
              <w:rPr>
                <w:rFonts w:ascii="Century Gothic" w:eastAsia="Times New Roman" w:hAnsi="Century Gothic" w:cs="Arial"/>
                <w:sz w:val="24"/>
                <w:szCs w:val="24"/>
              </w:rPr>
            </w:pPr>
          </w:p>
          <w:p w14:paraId="78EBDA32" w14:textId="2B24F2B9" w:rsidR="00F60C06" w:rsidRPr="00FF562B" w:rsidRDefault="00F60C06" w:rsidP="00B17AB2">
            <w:pPr>
              <w:pStyle w:val="Prrafodelista"/>
              <w:ind w:left="0"/>
              <w:jc w:val="both"/>
              <w:rPr>
                <w:rFonts w:ascii="Century Gothic" w:eastAsia="Times New Roman" w:hAnsi="Century Gothic" w:cs="Arial"/>
                <w:b/>
                <w:sz w:val="24"/>
                <w:szCs w:val="24"/>
                <w:u w:val="single"/>
              </w:rPr>
            </w:pPr>
            <w:r w:rsidRPr="00FF562B">
              <w:rPr>
                <w:rFonts w:ascii="Century Gothic" w:eastAsia="Times New Roman" w:hAnsi="Century Gothic" w:cs="Arial"/>
                <w:b/>
                <w:sz w:val="24"/>
                <w:szCs w:val="24"/>
                <w:u w:val="single"/>
              </w:rPr>
              <w:t xml:space="preserve">Toda </w:t>
            </w:r>
            <w:r w:rsidR="00920F78" w:rsidRPr="00FF562B">
              <w:rPr>
                <w:rFonts w:ascii="Century Gothic" w:eastAsia="Times New Roman" w:hAnsi="Century Gothic" w:cs="Arial"/>
                <w:b/>
                <w:sz w:val="24"/>
                <w:szCs w:val="24"/>
                <w:u w:val="single"/>
              </w:rPr>
              <w:t>pena de prisión</w:t>
            </w:r>
            <w:r w:rsidRPr="00FF562B">
              <w:rPr>
                <w:rFonts w:ascii="Century Gothic" w:eastAsia="Times New Roman" w:hAnsi="Century Gothic" w:cs="Arial"/>
                <w:b/>
                <w:sz w:val="24"/>
                <w:szCs w:val="24"/>
                <w:u w:val="single"/>
              </w:rPr>
              <w:t xml:space="preserve"> perpetua tendrá control automático ante el superior jerárquico.  </w:t>
            </w:r>
          </w:p>
          <w:p w14:paraId="0B1EB371" w14:textId="442335A4" w:rsidR="00F60C06" w:rsidRPr="00FF562B" w:rsidRDefault="00F60C06" w:rsidP="00B17AB2">
            <w:pPr>
              <w:spacing w:line="276" w:lineRule="auto"/>
              <w:jc w:val="both"/>
              <w:textAlignment w:val="center"/>
              <w:rPr>
                <w:rFonts w:ascii="Century Gothic" w:eastAsia="Times New Roman" w:hAnsi="Century Gothic" w:cs="Arial"/>
              </w:rPr>
            </w:pPr>
            <w:r w:rsidRPr="00FF562B">
              <w:rPr>
                <w:rFonts w:ascii="Century Gothic" w:eastAsia="Times New Roman" w:hAnsi="Century Gothic" w:cs="Arial"/>
              </w:rPr>
              <w:lastRenderedPageBreak/>
              <w:t xml:space="preserve">En todo caso la pena deberá ser revisada en un plazo </w:t>
            </w:r>
            <w:r w:rsidRPr="00FF562B">
              <w:rPr>
                <w:rFonts w:ascii="Century Gothic" w:eastAsia="Times New Roman" w:hAnsi="Century Gothic" w:cs="Arial"/>
                <w:b/>
                <w:u w:val="single"/>
              </w:rPr>
              <w:t>no inferior a veinticinco (25) años, para evaluar la resocialización del condenado.</w:t>
            </w:r>
          </w:p>
          <w:p w14:paraId="33D6B285" w14:textId="77777777" w:rsidR="00F60C06" w:rsidRPr="00FF562B" w:rsidRDefault="00F60C06" w:rsidP="00B17AB2">
            <w:pPr>
              <w:spacing w:line="276" w:lineRule="auto"/>
              <w:jc w:val="both"/>
              <w:textAlignment w:val="center"/>
              <w:rPr>
                <w:rFonts w:ascii="Century Gothic" w:eastAsia="Times New Roman" w:hAnsi="Century Gothic" w:cs="Arial"/>
              </w:rPr>
            </w:pPr>
          </w:p>
          <w:p w14:paraId="4E8B6232" w14:textId="3038085D" w:rsidR="00F60C06" w:rsidRPr="00FF562B" w:rsidRDefault="00F60C06" w:rsidP="00B17AB2">
            <w:pPr>
              <w:spacing w:line="276" w:lineRule="auto"/>
              <w:jc w:val="both"/>
              <w:textAlignment w:val="center"/>
              <w:rPr>
                <w:rFonts w:ascii="Century Gothic" w:eastAsia="Times New Roman" w:hAnsi="Century Gothic" w:cs="Arial"/>
                <w:b/>
                <w:u w:val="single"/>
              </w:rPr>
            </w:pPr>
            <w:r w:rsidRPr="00FF562B">
              <w:rPr>
                <w:rFonts w:ascii="Century Gothic" w:eastAsia="Times New Roman" w:hAnsi="Century Gothic" w:cs="Arial"/>
                <w:b/>
                <w:u w:val="single"/>
              </w:rPr>
              <w:t>Una ley reglamentará la materia.</w:t>
            </w:r>
          </w:p>
          <w:p w14:paraId="5442F5C0" w14:textId="77777777" w:rsidR="00F60C06" w:rsidRPr="00FF562B" w:rsidRDefault="00F60C06" w:rsidP="00B17AB2">
            <w:pPr>
              <w:spacing w:line="276" w:lineRule="auto"/>
              <w:jc w:val="both"/>
              <w:textAlignment w:val="center"/>
              <w:rPr>
                <w:rFonts w:ascii="Century Gothic" w:eastAsia="Times New Roman" w:hAnsi="Century Gothic" w:cs="Arial"/>
              </w:rPr>
            </w:pPr>
          </w:p>
          <w:p w14:paraId="150DF323" w14:textId="0140DBAC" w:rsidR="00793F85" w:rsidRPr="00FF562B" w:rsidRDefault="00F60C06" w:rsidP="00B17AB2">
            <w:pPr>
              <w:spacing w:line="276" w:lineRule="auto"/>
              <w:jc w:val="both"/>
              <w:textAlignment w:val="center"/>
              <w:rPr>
                <w:rFonts w:ascii="Century Gothic" w:eastAsia="Times New Roman" w:hAnsi="Century Gothic" w:cs="Arial"/>
                <w:b/>
              </w:rPr>
            </w:pPr>
            <w:r w:rsidRPr="00FF562B">
              <w:rPr>
                <w:rFonts w:ascii="Century Gothic" w:eastAsia="Times New Roman" w:hAnsi="Century Gothic" w:cs="Arial"/>
                <w:b/>
                <w:u w:val="single"/>
              </w:rPr>
              <w:t>Parágrafo transitorio: El</w:t>
            </w:r>
            <w:r w:rsidRPr="00FF562B">
              <w:rPr>
                <w:rFonts w:ascii="Century Gothic" w:hAnsi="Century Gothic" w:cs="Arial"/>
                <w:b/>
                <w:u w:val="single"/>
              </w:rPr>
              <w:t xml:space="preserve"> Gobierno Nacional contará con un (1) año contado a partir de la fecha de promulgación del presente acto legislativo, para radicar ante el Congreso de la República el proyecto de ley que reglamente la materia</w:t>
            </w:r>
            <w:r w:rsidRPr="00FF562B">
              <w:rPr>
                <w:rFonts w:ascii="Century Gothic" w:hAnsi="Century Gothic" w:cs="Arial"/>
              </w:rPr>
              <w:t>.</w:t>
            </w:r>
          </w:p>
        </w:tc>
        <w:tc>
          <w:tcPr>
            <w:tcW w:w="2610" w:type="dxa"/>
            <w:shd w:val="clear" w:color="auto" w:fill="FFFFFF" w:themeFill="background1"/>
          </w:tcPr>
          <w:p w14:paraId="5335452E" w14:textId="77777777" w:rsidR="00793F85" w:rsidRPr="00FF562B" w:rsidRDefault="00793F85" w:rsidP="00B17AB2">
            <w:pPr>
              <w:spacing w:line="276" w:lineRule="auto"/>
              <w:jc w:val="both"/>
              <w:rPr>
                <w:rFonts w:ascii="Century Gothic" w:eastAsia="Times New Roman" w:hAnsi="Century Gothic" w:cs="Arial"/>
              </w:rPr>
            </w:pPr>
            <w:r w:rsidRPr="00FF562B">
              <w:rPr>
                <w:rFonts w:ascii="Century Gothic" w:eastAsia="Times New Roman" w:hAnsi="Century Gothic" w:cs="Arial"/>
              </w:rPr>
              <w:lastRenderedPageBreak/>
              <w:t xml:space="preserve">De los proyectos de Acto legislativo acumulados, no se acoge ninguno en su totalidad, por lo que se propone un nuevo texto en la presente ponencia, mejorando aspectos normativos y de redacción. </w:t>
            </w:r>
          </w:p>
          <w:p w14:paraId="0268CFDB" w14:textId="2F8D8ECA" w:rsidR="00793F85" w:rsidRPr="00FF562B" w:rsidRDefault="00920F78" w:rsidP="00B17AB2">
            <w:pPr>
              <w:spacing w:line="276" w:lineRule="auto"/>
              <w:jc w:val="both"/>
              <w:rPr>
                <w:rFonts w:ascii="Century Gothic" w:eastAsia="Times New Roman" w:hAnsi="Century Gothic" w:cs="Arial"/>
              </w:rPr>
            </w:pPr>
            <w:r w:rsidRPr="00FF562B">
              <w:rPr>
                <w:rFonts w:ascii="Century Gothic" w:eastAsia="Times New Roman" w:hAnsi="Century Gothic" w:cs="Arial"/>
              </w:rPr>
              <w:lastRenderedPageBreak/>
              <w:t xml:space="preserve">Se precisa que las conductas que de manera excepcional podrán ser objeto de prisión perpetua revisable serán el homicidio en modalidad dolosa y aquellas donde los niños, niñas y adolescentes sean víctimas de acceso carnal o actos sexuales que impliquen violencia o </w:t>
            </w:r>
            <w:r w:rsidR="00A81190">
              <w:rPr>
                <w:rFonts w:ascii="Century Gothic" w:eastAsia="Times New Roman" w:hAnsi="Century Gothic" w:cs="Arial"/>
              </w:rPr>
              <w:t xml:space="preserve">se encuentren </w:t>
            </w:r>
            <w:r w:rsidR="003C1B54">
              <w:rPr>
                <w:rFonts w:ascii="Century Gothic" w:eastAsia="Times New Roman" w:hAnsi="Century Gothic" w:cs="Arial"/>
              </w:rPr>
              <w:t xml:space="preserve">en </w:t>
            </w:r>
            <w:r w:rsidR="003C1B54" w:rsidRPr="00FF562B">
              <w:rPr>
                <w:rFonts w:ascii="Century Gothic" w:eastAsia="Times New Roman" w:hAnsi="Century Gothic" w:cs="Arial"/>
              </w:rPr>
              <w:t>incapacidad</w:t>
            </w:r>
            <w:r w:rsidRPr="00FF562B">
              <w:rPr>
                <w:rFonts w:ascii="Century Gothic" w:eastAsia="Times New Roman" w:hAnsi="Century Gothic" w:cs="Arial"/>
              </w:rPr>
              <w:t xml:space="preserve"> de resistir.</w:t>
            </w:r>
          </w:p>
          <w:p w14:paraId="09FAC201" w14:textId="77777777" w:rsidR="00793F85" w:rsidRPr="00FF562B" w:rsidRDefault="00793F85" w:rsidP="00B17AB2">
            <w:pPr>
              <w:spacing w:line="276" w:lineRule="auto"/>
              <w:jc w:val="both"/>
              <w:rPr>
                <w:rFonts w:ascii="Century Gothic" w:eastAsia="Times New Roman" w:hAnsi="Century Gothic" w:cs="Arial"/>
              </w:rPr>
            </w:pPr>
          </w:p>
          <w:p w14:paraId="0C1DDACA" w14:textId="5047B9B0" w:rsidR="00920F78" w:rsidRDefault="00920F78" w:rsidP="00B17AB2">
            <w:pPr>
              <w:spacing w:line="276" w:lineRule="auto"/>
              <w:jc w:val="both"/>
              <w:rPr>
                <w:rFonts w:ascii="Century Gothic" w:eastAsia="Times New Roman" w:hAnsi="Century Gothic" w:cs="Arial"/>
              </w:rPr>
            </w:pPr>
            <w:r w:rsidRPr="00FF562B">
              <w:rPr>
                <w:rFonts w:ascii="Century Gothic" w:eastAsia="Times New Roman" w:hAnsi="Century Gothic" w:cs="Arial"/>
              </w:rPr>
              <w:t xml:space="preserve">Así mismo, se incluye un nuevo inciso en el que se establece que, la pena de prisión perpetua, siempre tendrá control automático ante el superior jerárquico, ello con el fin de </w:t>
            </w:r>
            <w:r w:rsidR="00605408" w:rsidRPr="00FF562B">
              <w:rPr>
                <w:rFonts w:ascii="Century Gothic" w:eastAsia="Times New Roman" w:hAnsi="Century Gothic" w:cs="Arial"/>
              </w:rPr>
              <w:t xml:space="preserve">brindarle al condenado un juicio justo y conforme a la ley. </w:t>
            </w:r>
          </w:p>
          <w:p w14:paraId="6AAB803C" w14:textId="77777777" w:rsidR="00056D86" w:rsidRPr="00FF562B" w:rsidRDefault="00056D86" w:rsidP="00056D86">
            <w:pPr>
              <w:jc w:val="both"/>
              <w:rPr>
                <w:rFonts w:ascii="Century Gothic" w:eastAsia="Times New Roman" w:hAnsi="Century Gothic" w:cs="Arial"/>
              </w:rPr>
            </w:pPr>
          </w:p>
          <w:p w14:paraId="73A9C627" w14:textId="6C6A1E2B" w:rsidR="00605408" w:rsidRPr="00FF562B" w:rsidRDefault="00793F85" w:rsidP="00B17AB2">
            <w:pPr>
              <w:spacing w:line="276" w:lineRule="auto"/>
              <w:jc w:val="both"/>
              <w:rPr>
                <w:rFonts w:ascii="Century Gothic" w:eastAsia="Times New Roman" w:hAnsi="Century Gothic" w:cs="Arial"/>
              </w:rPr>
            </w:pPr>
            <w:r w:rsidRPr="00FF562B">
              <w:rPr>
                <w:rFonts w:ascii="Century Gothic" w:eastAsia="Times New Roman" w:hAnsi="Century Gothic" w:cs="Arial"/>
              </w:rPr>
              <w:t xml:space="preserve">Se precisa que la revisión de la pena </w:t>
            </w:r>
            <w:r w:rsidR="00605408" w:rsidRPr="00FF562B">
              <w:rPr>
                <w:rFonts w:ascii="Century Gothic" w:eastAsia="Times New Roman" w:hAnsi="Century Gothic" w:cs="Arial"/>
              </w:rPr>
              <w:t xml:space="preserve">se disminuye de 30 a 25 años, con el fin </w:t>
            </w:r>
            <w:r w:rsidR="00605408" w:rsidRPr="00FF562B">
              <w:rPr>
                <w:rFonts w:ascii="Century Gothic" w:eastAsia="Times New Roman" w:hAnsi="Century Gothic" w:cs="Arial"/>
              </w:rPr>
              <w:lastRenderedPageBreak/>
              <w:t xml:space="preserve">de ajustarla a los estándares del derecho comparado, haciendo énfasis en la obligación por parte del Estado de brindarle al condenado efectivas medidas de resocialización.   </w:t>
            </w:r>
          </w:p>
          <w:p w14:paraId="1B142393" w14:textId="77777777" w:rsidR="00605408" w:rsidRPr="00FF562B" w:rsidRDefault="00605408" w:rsidP="00B17AB2">
            <w:pPr>
              <w:spacing w:line="276" w:lineRule="auto"/>
              <w:jc w:val="both"/>
              <w:rPr>
                <w:rFonts w:ascii="Century Gothic" w:eastAsia="Times New Roman" w:hAnsi="Century Gothic" w:cs="Arial"/>
              </w:rPr>
            </w:pPr>
          </w:p>
          <w:p w14:paraId="1EE45A4D" w14:textId="6C5A9786" w:rsidR="00793F85" w:rsidRPr="00FF562B" w:rsidRDefault="00605408" w:rsidP="00774E95">
            <w:pPr>
              <w:spacing w:before="57" w:after="57" w:line="276" w:lineRule="auto"/>
              <w:jc w:val="both"/>
              <w:rPr>
                <w:rFonts w:ascii="Century Gothic" w:eastAsia="Times New Roman" w:hAnsi="Century Gothic" w:cs="Arial"/>
              </w:rPr>
            </w:pPr>
            <w:r w:rsidRPr="00FF562B">
              <w:rPr>
                <w:rFonts w:ascii="Century Gothic" w:eastAsia="Times New Roman" w:hAnsi="Century Gothic" w:cs="Arial"/>
              </w:rPr>
              <w:t xml:space="preserve">Finalmente se establece que el Gobierno nacional </w:t>
            </w:r>
            <w:r w:rsidR="00774E95">
              <w:rPr>
                <w:rFonts w:ascii="Century Gothic" w:eastAsia="Times New Roman" w:hAnsi="Century Gothic" w:cs="Arial"/>
              </w:rPr>
              <w:t>presentará</w:t>
            </w:r>
            <w:r w:rsidR="00773FF6">
              <w:rPr>
                <w:rFonts w:ascii="Century Gothic" w:eastAsia="Times New Roman" w:hAnsi="Century Gothic" w:cs="Arial"/>
              </w:rPr>
              <w:t xml:space="preserve"> ante el Congreso de la </w:t>
            </w:r>
            <w:r w:rsidR="00774E95">
              <w:rPr>
                <w:rFonts w:ascii="Century Gothic" w:eastAsia="Times New Roman" w:hAnsi="Century Gothic" w:cs="Arial"/>
              </w:rPr>
              <w:t>República</w:t>
            </w:r>
            <w:r w:rsidR="00773FF6">
              <w:rPr>
                <w:rFonts w:ascii="Century Gothic" w:eastAsia="Times New Roman" w:hAnsi="Century Gothic" w:cs="Arial"/>
              </w:rPr>
              <w:t xml:space="preserve"> un proyecto de ley en el que se deberá reglamentar </w:t>
            </w:r>
            <w:r w:rsidR="008F6461" w:rsidRPr="00FF562B">
              <w:rPr>
                <w:rFonts w:ascii="Century Gothic" w:eastAsia="Times New Roman" w:hAnsi="Century Gothic" w:cs="Arial"/>
              </w:rPr>
              <w:t>la materia, esto con el fin de asegurar un efectivo cumplim</w:t>
            </w:r>
            <w:r w:rsidR="00DB1096">
              <w:rPr>
                <w:rFonts w:ascii="Century Gothic" w:eastAsia="Times New Roman" w:hAnsi="Century Gothic" w:cs="Arial"/>
              </w:rPr>
              <w:t>i</w:t>
            </w:r>
            <w:r w:rsidR="008F6461" w:rsidRPr="00FF562B">
              <w:rPr>
                <w:rFonts w:ascii="Century Gothic" w:eastAsia="Times New Roman" w:hAnsi="Century Gothic" w:cs="Arial"/>
              </w:rPr>
              <w:t>ento de lo dispuesto en la reforma constitucional que se plantea.</w:t>
            </w:r>
          </w:p>
        </w:tc>
      </w:tr>
      <w:tr w:rsidR="00793F85" w:rsidRPr="002D6F59" w14:paraId="59D3E910" w14:textId="77777777" w:rsidTr="00322F27">
        <w:tc>
          <w:tcPr>
            <w:tcW w:w="2552" w:type="dxa"/>
          </w:tcPr>
          <w:p w14:paraId="0CAADE71" w14:textId="77777777" w:rsidR="00793F85" w:rsidRPr="00FF562B" w:rsidRDefault="00793F85" w:rsidP="00B17AB2">
            <w:pPr>
              <w:pStyle w:val="Prrafodelista"/>
              <w:ind w:left="0"/>
              <w:jc w:val="both"/>
              <w:rPr>
                <w:rFonts w:ascii="Century Gothic" w:eastAsia="Times New Roman" w:hAnsi="Century Gothic" w:cs="Arial"/>
                <w:b/>
                <w:sz w:val="24"/>
                <w:szCs w:val="24"/>
              </w:rPr>
            </w:pPr>
          </w:p>
        </w:tc>
        <w:tc>
          <w:tcPr>
            <w:tcW w:w="2452" w:type="dxa"/>
          </w:tcPr>
          <w:p w14:paraId="12243E6A" w14:textId="77777777" w:rsidR="00793F85" w:rsidRPr="00FF562B" w:rsidRDefault="00793F85" w:rsidP="00B17AB2">
            <w:pPr>
              <w:spacing w:line="276" w:lineRule="auto"/>
              <w:jc w:val="both"/>
              <w:rPr>
                <w:rFonts w:ascii="Century Gothic" w:eastAsia="Times New Roman" w:hAnsi="Century Gothic" w:cs="Arial"/>
              </w:rPr>
            </w:pPr>
            <w:r w:rsidRPr="00FF562B">
              <w:rPr>
                <w:rFonts w:ascii="Century Gothic" w:eastAsia="Times New Roman" w:hAnsi="Century Gothic" w:cs="Arial"/>
                <w:b/>
              </w:rPr>
              <w:t>Artículo 2º.</w:t>
            </w:r>
            <w:r w:rsidRPr="00FF562B">
              <w:rPr>
                <w:rFonts w:ascii="Century Gothic" w:eastAsia="Times New Roman" w:hAnsi="Century Gothic" w:cs="Arial"/>
              </w:rPr>
              <w:t xml:space="preserve"> Modifíquese el artículo 12 de la Constitución Política, el cual quedará así: </w:t>
            </w:r>
          </w:p>
          <w:p w14:paraId="137B262D" w14:textId="77777777" w:rsidR="00793F85" w:rsidRPr="00FF562B" w:rsidRDefault="00793F85" w:rsidP="00B17AB2">
            <w:pPr>
              <w:spacing w:line="276" w:lineRule="auto"/>
              <w:jc w:val="both"/>
              <w:rPr>
                <w:rFonts w:ascii="Century Gothic" w:eastAsia="Times New Roman" w:hAnsi="Century Gothic" w:cs="Arial"/>
              </w:rPr>
            </w:pPr>
          </w:p>
          <w:p w14:paraId="767452A1" w14:textId="77777777" w:rsidR="00793F85" w:rsidRPr="00FF562B" w:rsidRDefault="00793F85" w:rsidP="00B17AB2">
            <w:pPr>
              <w:spacing w:line="276" w:lineRule="auto"/>
              <w:jc w:val="both"/>
              <w:rPr>
                <w:rFonts w:ascii="Century Gothic" w:eastAsia="Times New Roman" w:hAnsi="Century Gothic" w:cs="Arial"/>
              </w:rPr>
            </w:pPr>
            <w:r w:rsidRPr="00FF562B">
              <w:rPr>
                <w:rFonts w:ascii="Century Gothic" w:eastAsia="Times New Roman" w:hAnsi="Century Gothic" w:cs="Arial"/>
              </w:rPr>
              <w:lastRenderedPageBreak/>
              <w:t xml:space="preserve">Artículo 12. Nadie será sometido a desaparición forzada, a torturas ni a tratos o penas crueles, inhumanos o degradantes. </w:t>
            </w:r>
          </w:p>
          <w:p w14:paraId="6792D2DC" w14:textId="77777777" w:rsidR="00793F85" w:rsidRPr="00FF562B" w:rsidRDefault="00793F85" w:rsidP="00B17AB2">
            <w:pPr>
              <w:spacing w:line="276" w:lineRule="auto"/>
              <w:jc w:val="both"/>
              <w:rPr>
                <w:rFonts w:ascii="Century Gothic" w:eastAsia="Times New Roman" w:hAnsi="Century Gothic" w:cs="Arial"/>
              </w:rPr>
            </w:pPr>
          </w:p>
          <w:p w14:paraId="06B0432D" w14:textId="77777777" w:rsidR="00793F85" w:rsidRPr="00FF562B" w:rsidRDefault="00793F85" w:rsidP="00B17AB2">
            <w:pPr>
              <w:pStyle w:val="Prrafodelista"/>
              <w:ind w:left="0"/>
              <w:jc w:val="both"/>
              <w:rPr>
                <w:rFonts w:ascii="Century Gothic" w:eastAsia="Times New Roman" w:hAnsi="Century Gothic" w:cs="Arial"/>
                <w:b/>
                <w:sz w:val="24"/>
                <w:szCs w:val="24"/>
              </w:rPr>
            </w:pPr>
            <w:r w:rsidRPr="00FF562B">
              <w:rPr>
                <w:rFonts w:ascii="Century Gothic" w:eastAsia="Times New Roman" w:hAnsi="Century Gothic" w:cs="Arial"/>
                <w:sz w:val="24"/>
                <w:szCs w:val="24"/>
              </w:rPr>
              <w:t>La revisión de la pena de prisión perpetua establecida en el inciso segundo del artículo 34, excluye dicha medida de las categorías indicadas en el inciso anterior.</w:t>
            </w:r>
          </w:p>
        </w:tc>
        <w:tc>
          <w:tcPr>
            <w:tcW w:w="2592" w:type="dxa"/>
            <w:shd w:val="clear" w:color="auto" w:fill="FFFFFF" w:themeFill="background1"/>
          </w:tcPr>
          <w:p w14:paraId="330DD57D" w14:textId="77777777" w:rsidR="00793F85" w:rsidRPr="00FF562B" w:rsidRDefault="00793F85" w:rsidP="00B17AB2">
            <w:pPr>
              <w:pStyle w:val="Prrafodelista"/>
              <w:ind w:left="0"/>
              <w:jc w:val="both"/>
              <w:rPr>
                <w:rFonts w:ascii="Century Gothic" w:eastAsia="Times New Roman" w:hAnsi="Century Gothic" w:cs="Arial"/>
                <w:b/>
                <w:sz w:val="24"/>
                <w:szCs w:val="24"/>
              </w:rPr>
            </w:pPr>
          </w:p>
        </w:tc>
        <w:tc>
          <w:tcPr>
            <w:tcW w:w="2610" w:type="dxa"/>
            <w:shd w:val="clear" w:color="auto" w:fill="FFFFFF" w:themeFill="background1"/>
          </w:tcPr>
          <w:p w14:paraId="34C3E278" w14:textId="77777777" w:rsidR="00793F85" w:rsidRPr="00FF562B" w:rsidRDefault="00793F85" w:rsidP="00B17AB2">
            <w:pPr>
              <w:spacing w:line="276" w:lineRule="auto"/>
              <w:jc w:val="both"/>
              <w:rPr>
                <w:rFonts w:ascii="Century Gothic" w:hAnsi="Century Gothic" w:cs="Arial"/>
              </w:rPr>
            </w:pPr>
            <w:r w:rsidRPr="00FF562B">
              <w:rPr>
                <w:rFonts w:ascii="Century Gothic" w:eastAsia="Times New Roman" w:hAnsi="Century Gothic" w:cs="Arial"/>
                <w:color w:val="000000" w:themeColor="text1"/>
              </w:rPr>
              <w:t xml:space="preserve">No se acoge el artículo 2° del Proyecto de Acto legislativo N. 047 de 2019 Cámara, al resultar incongruente, con lo dispuesto en el </w:t>
            </w:r>
            <w:r w:rsidRPr="00FF562B">
              <w:rPr>
                <w:rFonts w:ascii="Century Gothic" w:eastAsia="Times New Roman" w:hAnsi="Century Gothic" w:cs="Arial"/>
                <w:color w:val="000000" w:themeColor="text1"/>
              </w:rPr>
              <w:lastRenderedPageBreak/>
              <w:t xml:space="preserve">artículo primero del presente Acto Legislativo. </w:t>
            </w:r>
          </w:p>
        </w:tc>
      </w:tr>
      <w:tr w:rsidR="00793F85" w:rsidRPr="002D6F59" w14:paraId="0CE3EBB9" w14:textId="77777777" w:rsidTr="00322F27">
        <w:tc>
          <w:tcPr>
            <w:tcW w:w="2552" w:type="dxa"/>
          </w:tcPr>
          <w:p w14:paraId="31A0F1FD" w14:textId="77777777" w:rsidR="00793F85" w:rsidRPr="00FF562B" w:rsidRDefault="00793F85" w:rsidP="00B17AB2">
            <w:pPr>
              <w:pStyle w:val="Prrafodelista"/>
              <w:ind w:left="0"/>
              <w:jc w:val="both"/>
              <w:rPr>
                <w:rFonts w:ascii="Century Gothic" w:hAnsi="Century Gothic" w:cs="Arial"/>
                <w:sz w:val="24"/>
                <w:szCs w:val="24"/>
              </w:rPr>
            </w:pPr>
            <w:r w:rsidRPr="00FF562B">
              <w:rPr>
                <w:rFonts w:ascii="Century Gothic" w:eastAsia="Times New Roman" w:hAnsi="Century Gothic" w:cs="Arial"/>
                <w:b/>
                <w:sz w:val="24"/>
                <w:szCs w:val="24"/>
              </w:rPr>
              <w:lastRenderedPageBreak/>
              <w:t>Artículo 2°.</w:t>
            </w:r>
            <w:r w:rsidRPr="00FF562B">
              <w:rPr>
                <w:rFonts w:ascii="Century Gothic" w:eastAsia="Times New Roman" w:hAnsi="Century Gothic" w:cs="Arial"/>
                <w:sz w:val="24"/>
                <w:szCs w:val="24"/>
              </w:rPr>
              <w:t xml:space="preserve"> El presente acto legislativo rige a partir de la fecha de su promulgación.</w:t>
            </w:r>
          </w:p>
        </w:tc>
        <w:tc>
          <w:tcPr>
            <w:tcW w:w="2452" w:type="dxa"/>
          </w:tcPr>
          <w:p w14:paraId="06705553" w14:textId="77777777" w:rsidR="00793F85" w:rsidRPr="00FF562B" w:rsidRDefault="00793F85" w:rsidP="00B17AB2">
            <w:pPr>
              <w:spacing w:line="276" w:lineRule="auto"/>
              <w:jc w:val="both"/>
              <w:rPr>
                <w:rFonts w:ascii="Century Gothic" w:eastAsia="Times New Roman" w:hAnsi="Century Gothic" w:cs="Arial"/>
              </w:rPr>
            </w:pPr>
            <w:r w:rsidRPr="00FF562B">
              <w:rPr>
                <w:rFonts w:ascii="Century Gothic" w:eastAsia="Times New Roman" w:hAnsi="Century Gothic" w:cs="Arial"/>
                <w:b/>
              </w:rPr>
              <w:t>Artículo 3º.</w:t>
            </w:r>
            <w:r w:rsidRPr="00FF562B">
              <w:rPr>
                <w:rFonts w:ascii="Century Gothic" w:eastAsia="Times New Roman" w:hAnsi="Century Gothic" w:cs="Arial"/>
              </w:rPr>
              <w:t xml:space="preserve"> El presente acto legislativo rige a partir de la fecha de su publicación.</w:t>
            </w:r>
          </w:p>
        </w:tc>
        <w:tc>
          <w:tcPr>
            <w:tcW w:w="2592" w:type="dxa"/>
            <w:shd w:val="clear" w:color="auto" w:fill="FFFFFF" w:themeFill="background1"/>
          </w:tcPr>
          <w:p w14:paraId="1E85FF89" w14:textId="77777777" w:rsidR="00793F85" w:rsidRPr="00FF562B" w:rsidRDefault="00793F85" w:rsidP="00B17AB2">
            <w:pPr>
              <w:pStyle w:val="Prrafodelista"/>
              <w:ind w:left="0"/>
              <w:jc w:val="both"/>
              <w:rPr>
                <w:rFonts w:ascii="Century Gothic" w:hAnsi="Century Gothic" w:cs="Arial"/>
                <w:sz w:val="24"/>
                <w:szCs w:val="24"/>
              </w:rPr>
            </w:pPr>
            <w:r w:rsidRPr="00FF562B">
              <w:rPr>
                <w:rFonts w:ascii="Century Gothic" w:eastAsia="Times New Roman" w:hAnsi="Century Gothic" w:cs="Arial"/>
                <w:b/>
                <w:sz w:val="24"/>
                <w:szCs w:val="24"/>
              </w:rPr>
              <w:t>Artículo 2°.</w:t>
            </w:r>
            <w:r w:rsidRPr="00FF562B">
              <w:rPr>
                <w:rFonts w:ascii="Century Gothic" w:eastAsia="Times New Roman" w:hAnsi="Century Gothic" w:cs="Arial"/>
                <w:sz w:val="24"/>
                <w:szCs w:val="24"/>
              </w:rPr>
              <w:t xml:space="preserve"> El presente acto legislativo rige a partir de la fecha de su promulgación.</w:t>
            </w:r>
          </w:p>
        </w:tc>
        <w:tc>
          <w:tcPr>
            <w:tcW w:w="2610" w:type="dxa"/>
            <w:shd w:val="clear" w:color="auto" w:fill="FFFFFF" w:themeFill="background1"/>
          </w:tcPr>
          <w:p w14:paraId="15A8EEF5" w14:textId="77777777" w:rsidR="00793F85" w:rsidRPr="00FF562B" w:rsidRDefault="00793F85" w:rsidP="00B17AB2">
            <w:pPr>
              <w:pStyle w:val="Prrafodelista"/>
              <w:ind w:left="0"/>
              <w:jc w:val="both"/>
              <w:rPr>
                <w:rFonts w:ascii="Century Gothic" w:hAnsi="Century Gothic" w:cs="Arial"/>
                <w:sz w:val="24"/>
                <w:szCs w:val="24"/>
              </w:rPr>
            </w:pPr>
            <w:r w:rsidRPr="00FF562B">
              <w:rPr>
                <w:rFonts w:ascii="Century Gothic" w:eastAsia="Times New Roman" w:hAnsi="Century Gothic" w:cs="Arial"/>
                <w:sz w:val="24"/>
                <w:szCs w:val="24"/>
              </w:rPr>
              <w:t>Se acoge el texto del Proyecto de Acto legislativo N. 001 de 2019 Cámara.</w:t>
            </w:r>
          </w:p>
        </w:tc>
      </w:tr>
    </w:tbl>
    <w:p w14:paraId="52DB9D3B" w14:textId="47EB0041" w:rsidR="005B22F5" w:rsidRPr="002D6F59" w:rsidRDefault="005B22F5" w:rsidP="00B17AB2">
      <w:pPr>
        <w:spacing w:line="276" w:lineRule="auto"/>
        <w:rPr>
          <w:rFonts w:ascii="Century Gothic" w:hAnsi="Century Gothic" w:cs="Arial"/>
        </w:rPr>
      </w:pPr>
    </w:p>
    <w:p w14:paraId="3181A80C" w14:textId="77777777" w:rsidR="00793F85" w:rsidRPr="002D6F59" w:rsidRDefault="00793F85" w:rsidP="00B17AB2">
      <w:pPr>
        <w:pStyle w:val="Prrafodelista"/>
        <w:numPr>
          <w:ilvl w:val="0"/>
          <w:numId w:val="25"/>
        </w:numPr>
        <w:spacing w:after="240"/>
        <w:jc w:val="center"/>
        <w:rPr>
          <w:rFonts w:ascii="Century Gothic" w:hAnsi="Century Gothic" w:cs="Arial"/>
          <w:b/>
          <w:caps/>
          <w:sz w:val="24"/>
          <w:szCs w:val="24"/>
        </w:rPr>
      </w:pPr>
      <w:r w:rsidRPr="002D6F59">
        <w:rPr>
          <w:rFonts w:ascii="Century Gothic" w:hAnsi="Century Gothic" w:cs="Arial"/>
          <w:b/>
          <w:caps/>
          <w:sz w:val="24"/>
          <w:szCs w:val="24"/>
        </w:rPr>
        <w:t>PROPOSIciÓN</w:t>
      </w:r>
    </w:p>
    <w:p w14:paraId="4C4C93DB" w14:textId="633DDBAE" w:rsidR="00653BEA" w:rsidRDefault="00793F85" w:rsidP="00B17AB2">
      <w:pPr>
        <w:spacing w:after="240" w:line="276" w:lineRule="auto"/>
        <w:jc w:val="both"/>
        <w:rPr>
          <w:rFonts w:ascii="Century Gothic" w:hAnsi="Century Gothic" w:cs="Arial"/>
          <w:i/>
        </w:rPr>
      </w:pPr>
      <w:r w:rsidRPr="002D6F59">
        <w:rPr>
          <w:rFonts w:ascii="Century Gothic" w:hAnsi="Century Gothic" w:cs="Arial"/>
          <w:color w:val="000000"/>
        </w:rPr>
        <w:t>Por lo expuesto anteriormente solicitamos a</w:t>
      </w:r>
      <w:r w:rsidRPr="002D6F59">
        <w:rPr>
          <w:rStyle w:val="apple-converted-space"/>
          <w:rFonts w:ascii="Century Gothic" w:hAnsi="Century Gothic" w:cs="Arial"/>
          <w:color w:val="000000"/>
        </w:rPr>
        <w:t> </w:t>
      </w:r>
      <w:r w:rsidRPr="002D6F59">
        <w:rPr>
          <w:rFonts w:ascii="Century Gothic" w:hAnsi="Century Gothic" w:cs="Arial"/>
        </w:rPr>
        <w:t xml:space="preserve">la Comisión Primera Constitucional Permanente de la Honorable Cámara de Representantes, </w:t>
      </w:r>
      <w:r w:rsidRPr="002D6F59">
        <w:rPr>
          <w:rFonts w:ascii="Century Gothic" w:hAnsi="Century Gothic" w:cs="Arial"/>
          <w:b/>
        </w:rPr>
        <w:t>dar primer debate</w:t>
      </w:r>
      <w:r w:rsidRPr="002D6F59">
        <w:rPr>
          <w:rFonts w:ascii="Century Gothic" w:hAnsi="Century Gothic" w:cs="Arial"/>
        </w:rPr>
        <w:t xml:space="preserve"> al Proyecto de Acto Legislativo 001 de 2019 Cámara </w:t>
      </w:r>
      <w:r w:rsidRPr="002D6F59">
        <w:rPr>
          <w:rFonts w:ascii="Century Gothic" w:hAnsi="Century Gothic" w:cs="Arial"/>
          <w:i/>
        </w:rPr>
        <w:t xml:space="preserve">“Por medio del cual se modifica el artículo 34 de la Constitución Política, suprimiendo la prohibición de la pena de prisión perpetua y estableciendo la prisión perpetua revisable” – </w:t>
      </w:r>
      <w:r w:rsidRPr="002D6F59">
        <w:rPr>
          <w:rFonts w:ascii="Century Gothic" w:hAnsi="Century Gothic" w:cs="Arial"/>
        </w:rPr>
        <w:t>En memoria de Gilma Jiménez</w:t>
      </w:r>
      <w:r w:rsidRPr="002D6F59">
        <w:rPr>
          <w:rFonts w:ascii="Century Gothic" w:hAnsi="Century Gothic" w:cs="Arial"/>
          <w:i/>
        </w:rPr>
        <w:t xml:space="preserve">, </w:t>
      </w:r>
      <w:r w:rsidRPr="002D6F59">
        <w:rPr>
          <w:rFonts w:ascii="Century Gothic" w:hAnsi="Century Gothic" w:cs="Arial"/>
        </w:rPr>
        <w:t>acumulado con el</w:t>
      </w:r>
      <w:r w:rsidRPr="002D6F59">
        <w:rPr>
          <w:rFonts w:ascii="Century Gothic" w:hAnsi="Century Gothic" w:cs="Arial"/>
          <w:i/>
        </w:rPr>
        <w:t xml:space="preserve"> </w:t>
      </w:r>
      <w:r w:rsidRPr="002D6F59">
        <w:rPr>
          <w:rFonts w:ascii="Century Gothic" w:hAnsi="Century Gothic" w:cs="Arial"/>
        </w:rPr>
        <w:t xml:space="preserve">Proyecto de Acto Legislativo 047 de 2019 Cámara </w:t>
      </w:r>
      <w:r w:rsidRPr="002D6F59">
        <w:rPr>
          <w:rFonts w:ascii="Century Gothic" w:hAnsi="Century Gothic" w:cs="Arial"/>
          <w:i/>
        </w:rPr>
        <w:t>“Por medio del cual se modifica el artículo 34 de la Constitución Política, estableciendo la prisión perpetua revisable, y se dictan otras disposiciones.</w:t>
      </w:r>
    </w:p>
    <w:p w14:paraId="1B8E1D2F" w14:textId="6C761433" w:rsidR="00A7215D" w:rsidRPr="00A7215D" w:rsidRDefault="00A7215D" w:rsidP="00B17AB2">
      <w:pPr>
        <w:spacing w:after="240" w:line="276" w:lineRule="auto"/>
        <w:jc w:val="both"/>
        <w:rPr>
          <w:rFonts w:ascii="Century Gothic" w:hAnsi="Century Gothic" w:cs="Arial"/>
          <w:sz w:val="14"/>
          <w:szCs w:val="14"/>
        </w:rPr>
      </w:pPr>
      <w:r w:rsidRPr="00A7215D">
        <w:rPr>
          <w:rFonts w:ascii="Century Gothic" w:hAnsi="Century Gothic" w:cs="Arial"/>
          <w:sz w:val="14"/>
          <w:szCs w:val="14"/>
        </w:rPr>
        <w:lastRenderedPageBreak/>
        <w:t xml:space="preserve">Continuación ponencia positiva </w:t>
      </w:r>
      <w:r w:rsidRPr="00A7215D">
        <w:rPr>
          <w:rFonts w:ascii="Century Gothic" w:hAnsi="Century Gothic" w:cs="Arial"/>
          <w:sz w:val="14"/>
          <w:szCs w:val="14"/>
        </w:rPr>
        <w:t>Proyecto de Acto Legislativo 001 de 2019 Cámara</w:t>
      </w:r>
      <w:r w:rsidRPr="00A7215D">
        <w:rPr>
          <w:rFonts w:ascii="Century Gothic" w:hAnsi="Century Gothic" w:cs="Arial"/>
          <w:sz w:val="14"/>
          <w:szCs w:val="14"/>
        </w:rPr>
        <w:t xml:space="preserve"> </w:t>
      </w:r>
      <w:r w:rsidRPr="00A7215D">
        <w:rPr>
          <w:rFonts w:ascii="Century Gothic" w:hAnsi="Century Gothic" w:cs="Arial"/>
          <w:sz w:val="14"/>
          <w:szCs w:val="14"/>
        </w:rPr>
        <w:t>acumulado con el</w:t>
      </w:r>
      <w:r w:rsidRPr="00A7215D">
        <w:rPr>
          <w:rFonts w:ascii="Century Gothic" w:hAnsi="Century Gothic" w:cs="Arial"/>
          <w:i/>
          <w:sz w:val="14"/>
          <w:szCs w:val="14"/>
        </w:rPr>
        <w:t xml:space="preserve"> </w:t>
      </w:r>
      <w:r w:rsidRPr="00A7215D">
        <w:rPr>
          <w:rFonts w:ascii="Century Gothic" w:hAnsi="Century Gothic" w:cs="Arial"/>
          <w:sz w:val="14"/>
          <w:szCs w:val="14"/>
        </w:rPr>
        <w:t xml:space="preserve">Proyecto de Acto Legislativo 047 de 2019 </w:t>
      </w:r>
      <w:r w:rsidRPr="00A7215D">
        <w:rPr>
          <w:rFonts w:ascii="Century Gothic" w:hAnsi="Century Gothic" w:cs="Arial"/>
          <w:sz w:val="14"/>
          <w:szCs w:val="14"/>
        </w:rPr>
        <w:t>Cámara.</w:t>
      </w:r>
    </w:p>
    <w:p w14:paraId="508866B5" w14:textId="6EA06D4D" w:rsidR="00357F8A" w:rsidRPr="00FF562B" w:rsidRDefault="00357F8A" w:rsidP="00B17AB2">
      <w:pPr>
        <w:spacing w:after="240" w:line="276" w:lineRule="auto"/>
        <w:jc w:val="both"/>
        <w:rPr>
          <w:rFonts w:ascii="Century Gothic" w:hAnsi="Century Gothic" w:cs="Arial"/>
          <w:i/>
        </w:rPr>
      </w:pPr>
      <w:r w:rsidRPr="002D6F59">
        <w:rPr>
          <w:rFonts w:ascii="Century Gothic" w:hAnsi="Century Gothic" w:cs="Arial"/>
        </w:rPr>
        <w:t>Cordialmente,</w:t>
      </w:r>
    </w:p>
    <w:p w14:paraId="1F18ECC7" w14:textId="5F91BB52" w:rsidR="00292A9F" w:rsidRDefault="00292A9F" w:rsidP="00B17AB2">
      <w:pPr>
        <w:spacing w:line="276" w:lineRule="auto"/>
        <w:jc w:val="both"/>
        <w:rPr>
          <w:rFonts w:ascii="Century Gothic" w:hAnsi="Century Gothic" w:cs="Arial"/>
        </w:rPr>
      </w:pPr>
    </w:p>
    <w:p w14:paraId="41F61111" w14:textId="77777777" w:rsidR="00A7215D" w:rsidRPr="002D6F59" w:rsidRDefault="00A7215D" w:rsidP="00B17AB2">
      <w:pPr>
        <w:spacing w:line="276" w:lineRule="auto"/>
        <w:jc w:val="both"/>
        <w:rPr>
          <w:rFonts w:ascii="Century Gothic" w:hAnsi="Century Gothic" w:cs="Arial"/>
        </w:rPr>
      </w:pPr>
    </w:p>
    <w:p w14:paraId="75485BF7" w14:textId="53883AEE" w:rsidR="00357F8A" w:rsidRPr="002D6F59" w:rsidRDefault="00357F8A" w:rsidP="00B17AB2">
      <w:pPr>
        <w:spacing w:line="276" w:lineRule="auto"/>
        <w:jc w:val="both"/>
        <w:rPr>
          <w:rFonts w:ascii="Century Gothic" w:hAnsi="Century Gothic" w:cs="Arial"/>
          <w:b/>
        </w:rPr>
      </w:pPr>
      <w:r w:rsidRPr="002D6F59">
        <w:rPr>
          <w:rFonts w:ascii="Century Gothic" w:hAnsi="Century Gothic" w:cs="Arial"/>
          <w:b/>
        </w:rPr>
        <w:t>ADRIANA MAGALI MATIZ VARGAS</w:t>
      </w:r>
      <w:r w:rsidR="00292A9F" w:rsidRPr="002D6F59">
        <w:rPr>
          <w:rFonts w:ascii="Century Gothic" w:hAnsi="Century Gothic" w:cs="Arial"/>
          <w:b/>
        </w:rPr>
        <w:t xml:space="preserve">-C </w:t>
      </w:r>
      <w:r w:rsidR="00FF562B">
        <w:rPr>
          <w:rFonts w:ascii="Century Gothic" w:hAnsi="Century Gothic" w:cs="Arial"/>
          <w:b/>
        </w:rPr>
        <w:t xml:space="preserve">      </w:t>
      </w:r>
      <w:r w:rsidRPr="002D6F59">
        <w:rPr>
          <w:rFonts w:ascii="Century Gothic" w:hAnsi="Century Gothic" w:cs="Arial"/>
          <w:b/>
        </w:rPr>
        <w:t>CESAR AUGUSTO LORDUY MALDONADO</w:t>
      </w:r>
    </w:p>
    <w:p w14:paraId="73FCFB54" w14:textId="5496A51E" w:rsidR="00357F8A" w:rsidRPr="002D6F59" w:rsidRDefault="00357F8A" w:rsidP="00B17AB2">
      <w:pPr>
        <w:spacing w:line="276" w:lineRule="auto"/>
        <w:jc w:val="both"/>
        <w:rPr>
          <w:rFonts w:ascii="Century Gothic" w:hAnsi="Century Gothic" w:cs="Arial"/>
        </w:rPr>
      </w:pPr>
      <w:r w:rsidRPr="002D6F59">
        <w:rPr>
          <w:rFonts w:ascii="Century Gothic" w:hAnsi="Century Gothic" w:cs="Arial"/>
          <w:b/>
        </w:rPr>
        <w:t xml:space="preserve">         </w:t>
      </w:r>
      <w:r w:rsidRPr="002D6F59">
        <w:rPr>
          <w:rFonts w:ascii="Century Gothic" w:hAnsi="Century Gothic" w:cs="Arial"/>
        </w:rPr>
        <w:t xml:space="preserve">Representante a la Cámara               </w:t>
      </w:r>
      <w:r w:rsidR="00FF562B">
        <w:rPr>
          <w:rFonts w:ascii="Century Gothic" w:hAnsi="Century Gothic" w:cs="Arial"/>
        </w:rPr>
        <w:t xml:space="preserve">       </w:t>
      </w:r>
      <w:r w:rsidRPr="002D6F59">
        <w:rPr>
          <w:rFonts w:ascii="Century Gothic" w:hAnsi="Century Gothic" w:cs="Arial"/>
        </w:rPr>
        <w:t xml:space="preserve">Representante a la Cámara </w:t>
      </w:r>
    </w:p>
    <w:p w14:paraId="4B42C0C6" w14:textId="77777777" w:rsidR="00357F8A" w:rsidRPr="002D6F59" w:rsidRDefault="00357F8A" w:rsidP="00B17AB2">
      <w:pPr>
        <w:spacing w:line="276" w:lineRule="auto"/>
        <w:jc w:val="both"/>
        <w:rPr>
          <w:rFonts w:ascii="Century Gothic" w:hAnsi="Century Gothic" w:cs="Arial"/>
          <w:b/>
        </w:rPr>
      </w:pPr>
    </w:p>
    <w:p w14:paraId="243494B4" w14:textId="77D5C920" w:rsidR="00357F8A" w:rsidRDefault="00357F8A" w:rsidP="00B17AB2">
      <w:pPr>
        <w:spacing w:line="276" w:lineRule="auto"/>
        <w:jc w:val="both"/>
        <w:rPr>
          <w:rFonts w:ascii="Century Gothic" w:hAnsi="Century Gothic" w:cs="Arial"/>
          <w:b/>
        </w:rPr>
      </w:pPr>
    </w:p>
    <w:p w14:paraId="599B93E1" w14:textId="77777777" w:rsidR="00A7215D" w:rsidRPr="002D6F59" w:rsidRDefault="00A7215D" w:rsidP="00B17AB2">
      <w:pPr>
        <w:spacing w:line="276" w:lineRule="auto"/>
        <w:jc w:val="both"/>
        <w:rPr>
          <w:rFonts w:ascii="Century Gothic" w:hAnsi="Century Gothic" w:cs="Arial"/>
          <w:b/>
        </w:rPr>
      </w:pPr>
    </w:p>
    <w:p w14:paraId="10398BC5" w14:textId="489E0212" w:rsidR="00357F8A" w:rsidRPr="002D6F59" w:rsidRDefault="00357F8A" w:rsidP="00B17AB2">
      <w:pPr>
        <w:spacing w:line="276" w:lineRule="auto"/>
        <w:jc w:val="both"/>
        <w:rPr>
          <w:rFonts w:ascii="Century Gothic" w:hAnsi="Century Gothic" w:cs="Arial"/>
          <w:b/>
        </w:rPr>
      </w:pPr>
      <w:r w:rsidRPr="002D6F59">
        <w:rPr>
          <w:rFonts w:ascii="Century Gothic" w:hAnsi="Century Gothic" w:cs="Arial"/>
          <w:b/>
        </w:rPr>
        <w:t xml:space="preserve">HARRY GIOVANNY GONZÁLEZ GARCIA     </w:t>
      </w:r>
      <w:r w:rsidR="00FF562B">
        <w:rPr>
          <w:rFonts w:ascii="Century Gothic" w:hAnsi="Century Gothic" w:cs="Arial"/>
          <w:b/>
        </w:rPr>
        <w:t xml:space="preserve">  </w:t>
      </w:r>
      <w:r w:rsidRPr="002D6F59">
        <w:rPr>
          <w:rFonts w:ascii="Century Gothic" w:hAnsi="Century Gothic" w:cs="Arial"/>
          <w:b/>
        </w:rPr>
        <w:t xml:space="preserve"> JOSÉ JAIME USCATEGUI PASTRANA                                       </w:t>
      </w:r>
    </w:p>
    <w:p w14:paraId="0AB3B7E5" w14:textId="08550704" w:rsidR="00357F8A" w:rsidRPr="002D6F59" w:rsidRDefault="00FF562B" w:rsidP="00B17AB2">
      <w:pPr>
        <w:spacing w:line="276" w:lineRule="auto"/>
        <w:jc w:val="both"/>
        <w:rPr>
          <w:rFonts w:ascii="Century Gothic" w:hAnsi="Century Gothic" w:cs="Arial"/>
        </w:rPr>
      </w:pPr>
      <w:r>
        <w:rPr>
          <w:rFonts w:ascii="Century Gothic" w:hAnsi="Century Gothic" w:cs="Arial"/>
        </w:rPr>
        <w:t xml:space="preserve">        </w:t>
      </w:r>
      <w:r w:rsidR="00357F8A" w:rsidRPr="002D6F59">
        <w:rPr>
          <w:rFonts w:ascii="Century Gothic" w:hAnsi="Century Gothic" w:cs="Arial"/>
        </w:rPr>
        <w:t xml:space="preserve">  Representante a la Cámara     </w:t>
      </w:r>
      <w:r>
        <w:rPr>
          <w:rFonts w:ascii="Century Gothic" w:hAnsi="Century Gothic" w:cs="Arial"/>
        </w:rPr>
        <w:t xml:space="preserve">             </w:t>
      </w:r>
      <w:r w:rsidR="00357F8A" w:rsidRPr="002D6F59">
        <w:rPr>
          <w:rFonts w:ascii="Century Gothic" w:hAnsi="Century Gothic" w:cs="Arial"/>
        </w:rPr>
        <w:t xml:space="preserve"> </w:t>
      </w:r>
      <w:r>
        <w:rPr>
          <w:rFonts w:ascii="Century Gothic" w:hAnsi="Century Gothic" w:cs="Arial"/>
        </w:rPr>
        <w:t xml:space="preserve">   </w:t>
      </w:r>
      <w:r w:rsidR="00357F8A" w:rsidRPr="002D6F59">
        <w:rPr>
          <w:rFonts w:ascii="Century Gothic" w:hAnsi="Century Gothic" w:cs="Arial"/>
        </w:rPr>
        <w:t>Representante a la Cámara</w:t>
      </w:r>
    </w:p>
    <w:p w14:paraId="2BA28FEE" w14:textId="77777777" w:rsidR="00357F8A" w:rsidRPr="002D6F59" w:rsidRDefault="00357F8A" w:rsidP="00B17AB2">
      <w:pPr>
        <w:spacing w:line="276" w:lineRule="auto"/>
        <w:jc w:val="both"/>
        <w:rPr>
          <w:rFonts w:ascii="Century Gothic" w:hAnsi="Century Gothic" w:cs="Arial"/>
          <w:b/>
        </w:rPr>
      </w:pPr>
    </w:p>
    <w:p w14:paraId="167858BB" w14:textId="77777777" w:rsidR="00357F8A" w:rsidRPr="002D6F59" w:rsidRDefault="00357F8A" w:rsidP="00B17AB2">
      <w:pPr>
        <w:spacing w:line="276" w:lineRule="auto"/>
        <w:jc w:val="both"/>
        <w:rPr>
          <w:rFonts w:ascii="Century Gothic" w:hAnsi="Century Gothic" w:cs="Arial"/>
          <w:b/>
        </w:rPr>
      </w:pPr>
    </w:p>
    <w:p w14:paraId="486675C2" w14:textId="1DC05DA8" w:rsidR="00A7215D" w:rsidRPr="002D6F59" w:rsidRDefault="00A7215D" w:rsidP="00B17AB2">
      <w:pPr>
        <w:spacing w:line="276" w:lineRule="auto"/>
        <w:jc w:val="both"/>
        <w:rPr>
          <w:rFonts w:ascii="Century Gothic" w:hAnsi="Century Gothic" w:cs="Arial"/>
          <w:b/>
        </w:rPr>
      </w:pPr>
    </w:p>
    <w:p w14:paraId="2DB84DF1" w14:textId="77777777" w:rsidR="00357F8A" w:rsidRPr="002D6F59" w:rsidRDefault="00357F8A" w:rsidP="00B17AB2">
      <w:pPr>
        <w:spacing w:line="276" w:lineRule="auto"/>
        <w:jc w:val="center"/>
        <w:rPr>
          <w:rFonts w:ascii="Century Gothic" w:hAnsi="Century Gothic" w:cs="Arial"/>
          <w:b/>
        </w:rPr>
      </w:pPr>
      <w:r w:rsidRPr="002D6F59">
        <w:rPr>
          <w:rFonts w:ascii="Century Gothic" w:hAnsi="Century Gothic" w:cs="Arial"/>
          <w:b/>
        </w:rPr>
        <w:t xml:space="preserve">  ELBERT DIAZ LOZANO</w:t>
      </w:r>
    </w:p>
    <w:p w14:paraId="1292E561" w14:textId="77777777" w:rsidR="00357F8A" w:rsidRPr="002D6F59" w:rsidRDefault="00357F8A" w:rsidP="00B17AB2">
      <w:pPr>
        <w:spacing w:line="276" w:lineRule="auto"/>
        <w:jc w:val="center"/>
        <w:rPr>
          <w:rFonts w:ascii="Century Gothic" w:hAnsi="Century Gothic" w:cs="Arial"/>
        </w:rPr>
      </w:pPr>
      <w:r w:rsidRPr="002D6F59">
        <w:rPr>
          <w:rFonts w:ascii="Century Gothic" w:hAnsi="Century Gothic" w:cs="Arial"/>
        </w:rPr>
        <w:t xml:space="preserve"> Representante a la Cámara</w:t>
      </w:r>
    </w:p>
    <w:p w14:paraId="28767103" w14:textId="77777777" w:rsidR="00357F8A" w:rsidRPr="002D6F59" w:rsidRDefault="00357F8A" w:rsidP="00B17AB2">
      <w:pPr>
        <w:spacing w:line="276" w:lineRule="auto"/>
        <w:ind w:right="193"/>
        <w:jc w:val="both"/>
        <w:textAlignment w:val="center"/>
        <w:rPr>
          <w:rFonts w:ascii="Century Gothic" w:hAnsi="Century Gothic" w:cs="Arial"/>
          <w:color w:val="000000"/>
          <w:lang w:eastAsia="es-CO"/>
        </w:rPr>
      </w:pPr>
    </w:p>
    <w:p w14:paraId="62DA5176" w14:textId="77777777" w:rsidR="00357F8A" w:rsidRPr="002D6F59" w:rsidRDefault="00357F8A" w:rsidP="00B17AB2">
      <w:pPr>
        <w:spacing w:line="276" w:lineRule="auto"/>
        <w:rPr>
          <w:rFonts w:ascii="Century Gothic" w:hAnsi="Century Gothic"/>
        </w:rPr>
      </w:pPr>
    </w:p>
    <w:p w14:paraId="413CB213" w14:textId="77777777" w:rsidR="00357F8A" w:rsidRPr="002D6F59" w:rsidRDefault="00357F8A" w:rsidP="00B17AB2">
      <w:pPr>
        <w:spacing w:after="240" w:line="276" w:lineRule="auto"/>
        <w:jc w:val="both"/>
        <w:rPr>
          <w:rFonts w:ascii="Century Gothic" w:hAnsi="Century Gothic" w:cs="Arial"/>
        </w:rPr>
      </w:pPr>
    </w:p>
    <w:p w14:paraId="1BE7D011" w14:textId="77777777" w:rsidR="00357F8A" w:rsidRPr="002D6F59" w:rsidRDefault="00357F8A" w:rsidP="00B17AB2">
      <w:pPr>
        <w:spacing w:after="240" w:line="276" w:lineRule="auto"/>
        <w:jc w:val="both"/>
        <w:rPr>
          <w:rFonts w:ascii="Century Gothic" w:hAnsi="Century Gothic" w:cs="Arial"/>
        </w:rPr>
      </w:pPr>
    </w:p>
    <w:p w14:paraId="2725E90E" w14:textId="77777777" w:rsidR="00357F8A" w:rsidRPr="002D6F59" w:rsidRDefault="00357F8A" w:rsidP="00B17AB2">
      <w:pPr>
        <w:spacing w:after="240" w:line="276" w:lineRule="auto"/>
        <w:jc w:val="both"/>
        <w:rPr>
          <w:rFonts w:ascii="Century Gothic" w:hAnsi="Century Gothic" w:cs="Arial"/>
        </w:rPr>
      </w:pPr>
    </w:p>
    <w:p w14:paraId="746A7F7F" w14:textId="77777777" w:rsidR="00357F8A" w:rsidRPr="002D6F59" w:rsidRDefault="00357F8A" w:rsidP="00B17AB2">
      <w:pPr>
        <w:spacing w:after="240" w:line="276" w:lineRule="auto"/>
        <w:jc w:val="both"/>
        <w:rPr>
          <w:rFonts w:ascii="Century Gothic" w:hAnsi="Century Gothic" w:cs="Arial"/>
        </w:rPr>
      </w:pPr>
    </w:p>
    <w:p w14:paraId="34AA1AEE" w14:textId="77777777" w:rsidR="00357F8A" w:rsidRPr="002D6F59" w:rsidRDefault="00357F8A" w:rsidP="00B17AB2">
      <w:pPr>
        <w:spacing w:after="240" w:line="276" w:lineRule="auto"/>
        <w:jc w:val="both"/>
        <w:rPr>
          <w:rFonts w:ascii="Century Gothic" w:hAnsi="Century Gothic" w:cs="Arial"/>
        </w:rPr>
      </w:pPr>
    </w:p>
    <w:p w14:paraId="7CD7F699" w14:textId="77777777" w:rsidR="00357F8A" w:rsidRPr="002D6F59" w:rsidRDefault="00357F8A" w:rsidP="00B17AB2">
      <w:pPr>
        <w:spacing w:after="240" w:line="276" w:lineRule="auto"/>
        <w:jc w:val="both"/>
        <w:rPr>
          <w:rFonts w:ascii="Century Gothic" w:hAnsi="Century Gothic" w:cs="Arial"/>
        </w:rPr>
      </w:pPr>
    </w:p>
    <w:p w14:paraId="041C3922" w14:textId="77777777" w:rsidR="00357F8A" w:rsidRPr="002D6F59" w:rsidRDefault="00357F8A" w:rsidP="00B17AB2">
      <w:pPr>
        <w:spacing w:after="240" w:line="276" w:lineRule="auto"/>
        <w:jc w:val="both"/>
        <w:rPr>
          <w:rFonts w:ascii="Century Gothic" w:hAnsi="Century Gothic" w:cs="Arial"/>
        </w:rPr>
      </w:pPr>
    </w:p>
    <w:p w14:paraId="49C8700B" w14:textId="77777777" w:rsidR="00357F8A" w:rsidRPr="002D6F59" w:rsidRDefault="00357F8A" w:rsidP="00B17AB2">
      <w:pPr>
        <w:spacing w:after="240" w:line="276" w:lineRule="auto"/>
        <w:jc w:val="both"/>
        <w:rPr>
          <w:rFonts w:ascii="Century Gothic" w:hAnsi="Century Gothic" w:cs="Arial"/>
        </w:rPr>
      </w:pPr>
    </w:p>
    <w:p w14:paraId="297F33A8" w14:textId="77777777" w:rsidR="00357F8A" w:rsidRPr="002D6F59" w:rsidRDefault="00357F8A" w:rsidP="00B17AB2">
      <w:pPr>
        <w:spacing w:after="240" w:line="276" w:lineRule="auto"/>
        <w:jc w:val="both"/>
        <w:rPr>
          <w:rFonts w:ascii="Century Gothic" w:hAnsi="Century Gothic" w:cs="Arial"/>
        </w:rPr>
      </w:pPr>
    </w:p>
    <w:p w14:paraId="2176E543" w14:textId="58400D8F" w:rsidR="00CC4B24" w:rsidRPr="002D6F59" w:rsidRDefault="00CC4B24" w:rsidP="00B17AB2">
      <w:pPr>
        <w:spacing w:after="240" w:line="276" w:lineRule="auto"/>
        <w:jc w:val="both"/>
        <w:rPr>
          <w:rFonts w:ascii="Century Gothic" w:hAnsi="Century Gothic" w:cs="Arial"/>
        </w:rPr>
      </w:pPr>
    </w:p>
    <w:p w14:paraId="0F13703D" w14:textId="73B5A854" w:rsidR="00E92087" w:rsidRPr="00785F6D" w:rsidRDefault="00E92087" w:rsidP="00B17AB2">
      <w:pPr>
        <w:spacing w:after="240" w:line="276" w:lineRule="auto"/>
        <w:jc w:val="center"/>
        <w:rPr>
          <w:rFonts w:ascii="Century Gothic" w:hAnsi="Century Gothic" w:cs="Arial"/>
          <w:b/>
          <w:caps/>
          <w:sz w:val="23"/>
          <w:szCs w:val="23"/>
        </w:rPr>
      </w:pPr>
      <w:r w:rsidRPr="00785F6D">
        <w:rPr>
          <w:rFonts w:ascii="Century Gothic" w:hAnsi="Century Gothic" w:cs="Arial"/>
          <w:b/>
          <w:caps/>
          <w:sz w:val="23"/>
          <w:szCs w:val="23"/>
        </w:rPr>
        <w:lastRenderedPageBreak/>
        <w:t xml:space="preserve">TEXTO PROPUESTO PARA PRIMER DEBATE al </w:t>
      </w:r>
      <w:r w:rsidRPr="00785F6D">
        <w:rPr>
          <w:rFonts w:ascii="Century Gothic" w:hAnsi="Century Gothic" w:cs="Arial"/>
          <w:b/>
          <w:sz w:val="23"/>
          <w:szCs w:val="23"/>
        </w:rPr>
        <w:t>PROYECTO DE ACTO LEGISLATIVO 001 DE 2019 CÁMARA ACUMULADO CON EL</w:t>
      </w:r>
      <w:r w:rsidRPr="00785F6D">
        <w:rPr>
          <w:rFonts w:ascii="Century Gothic" w:hAnsi="Century Gothic" w:cs="Arial"/>
          <w:b/>
          <w:i/>
          <w:sz w:val="23"/>
          <w:szCs w:val="23"/>
        </w:rPr>
        <w:t xml:space="preserve"> </w:t>
      </w:r>
      <w:r w:rsidRPr="00785F6D">
        <w:rPr>
          <w:rFonts w:ascii="Century Gothic" w:hAnsi="Century Gothic" w:cs="Arial"/>
          <w:b/>
          <w:sz w:val="23"/>
          <w:szCs w:val="23"/>
        </w:rPr>
        <w:t xml:space="preserve">PROYECTO DE ACTO LEGISLATIVO 047 DE 2019 CÁMARA </w:t>
      </w:r>
      <w:r w:rsidRPr="00785F6D">
        <w:rPr>
          <w:rFonts w:ascii="Century Gothic" w:hAnsi="Century Gothic" w:cs="Arial"/>
          <w:b/>
          <w:i/>
          <w:sz w:val="23"/>
          <w:szCs w:val="23"/>
        </w:rPr>
        <w:t xml:space="preserve">“POR MEDIO DEL CUAL SE MODIFICA EL ARTÍCULO 34 DE LA CONSTITUCIÓN POLÍTICA, SUPRIMIENDO LA PROHIBICIÓN DE LA PENA DE PRISIÓN PERPETUA Y ESTABLECIENDO LA PRISIÓN PERPETUA REVISABLE” – </w:t>
      </w:r>
      <w:r w:rsidRPr="00785F6D">
        <w:rPr>
          <w:rFonts w:ascii="Century Gothic" w:hAnsi="Century Gothic" w:cs="Arial"/>
          <w:b/>
          <w:sz w:val="23"/>
          <w:szCs w:val="23"/>
        </w:rPr>
        <w:t>EN MEMORIA DE GILMA JIMÉNEZ</w:t>
      </w:r>
      <w:r w:rsidR="00622502">
        <w:rPr>
          <w:rFonts w:ascii="Century Gothic" w:hAnsi="Century Gothic" w:cs="Arial"/>
          <w:b/>
          <w:i/>
          <w:sz w:val="23"/>
          <w:szCs w:val="23"/>
        </w:rPr>
        <w:t>.</w:t>
      </w:r>
      <w:bookmarkStart w:id="7" w:name="_GoBack"/>
      <w:bookmarkEnd w:id="7"/>
    </w:p>
    <w:p w14:paraId="77C585D6" w14:textId="77777777" w:rsidR="00E92087" w:rsidRPr="00785F6D" w:rsidRDefault="00E92087" w:rsidP="00B17AB2">
      <w:pPr>
        <w:spacing w:after="240" w:line="276" w:lineRule="auto"/>
        <w:jc w:val="center"/>
        <w:rPr>
          <w:rFonts w:ascii="Century Gothic" w:hAnsi="Century Gothic" w:cs="Arial"/>
          <w:b/>
          <w:sz w:val="23"/>
          <w:szCs w:val="23"/>
        </w:rPr>
      </w:pPr>
      <w:r w:rsidRPr="00785F6D">
        <w:rPr>
          <w:rFonts w:ascii="Century Gothic" w:hAnsi="Century Gothic" w:cs="Arial"/>
          <w:b/>
          <w:sz w:val="23"/>
          <w:szCs w:val="23"/>
        </w:rPr>
        <w:t>El Congreso de Colombia</w:t>
      </w:r>
    </w:p>
    <w:p w14:paraId="6FAC4CFD" w14:textId="77777777" w:rsidR="00E92087" w:rsidRPr="00785F6D" w:rsidRDefault="00E92087" w:rsidP="00B17AB2">
      <w:pPr>
        <w:spacing w:line="276" w:lineRule="auto"/>
        <w:jc w:val="center"/>
        <w:rPr>
          <w:rFonts w:ascii="Century Gothic" w:hAnsi="Century Gothic" w:cs="Arial"/>
          <w:b/>
          <w:sz w:val="23"/>
          <w:szCs w:val="23"/>
        </w:rPr>
      </w:pPr>
      <w:r w:rsidRPr="00785F6D">
        <w:rPr>
          <w:rFonts w:ascii="Century Gothic" w:hAnsi="Century Gothic" w:cs="Arial"/>
          <w:b/>
          <w:sz w:val="23"/>
          <w:szCs w:val="23"/>
        </w:rPr>
        <w:t>DECRETA:</w:t>
      </w:r>
    </w:p>
    <w:p w14:paraId="401275A1" w14:textId="77777777" w:rsidR="00E92087" w:rsidRPr="00785F6D" w:rsidRDefault="00E92087" w:rsidP="00B17AB2">
      <w:pPr>
        <w:spacing w:line="276" w:lineRule="auto"/>
        <w:jc w:val="both"/>
        <w:rPr>
          <w:rFonts w:ascii="Century Gothic" w:hAnsi="Century Gothic" w:cs="Arial"/>
          <w:b/>
          <w:sz w:val="23"/>
          <w:szCs w:val="23"/>
        </w:rPr>
      </w:pPr>
    </w:p>
    <w:p w14:paraId="1F3774BC" w14:textId="77777777" w:rsidR="00E92087" w:rsidRPr="00785F6D" w:rsidRDefault="00E92087" w:rsidP="00B17AB2">
      <w:pPr>
        <w:pStyle w:val="Prrafodelista"/>
        <w:ind w:left="0"/>
        <w:jc w:val="both"/>
        <w:rPr>
          <w:rFonts w:ascii="Century Gothic" w:eastAsia="Times New Roman" w:hAnsi="Century Gothic" w:cs="Arial"/>
          <w:sz w:val="23"/>
          <w:szCs w:val="23"/>
        </w:rPr>
      </w:pPr>
      <w:r w:rsidRPr="00785F6D">
        <w:rPr>
          <w:rFonts w:ascii="Century Gothic" w:eastAsia="Times New Roman" w:hAnsi="Century Gothic" w:cs="Arial"/>
          <w:b/>
          <w:sz w:val="23"/>
          <w:szCs w:val="23"/>
        </w:rPr>
        <w:t>Artículo 1°.</w:t>
      </w:r>
      <w:r w:rsidRPr="00785F6D">
        <w:rPr>
          <w:rFonts w:ascii="Century Gothic" w:eastAsia="Times New Roman" w:hAnsi="Century Gothic" w:cs="Arial"/>
          <w:sz w:val="23"/>
          <w:szCs w:val="23"/>
        </w:rPr>
        <w:t xml:space="preserve"> Modifíquese el artículo 34 de la Constitución Política, el cual quedará así: </w:t>
      </w:r>
    </w:p>
    <w:p w14:paraId="2D862292" w14:textId="77777777" w:rsidR="00E92087" w:rsidRPr="00785F6D" w:rsidRDefault="00E92087" w:rsidP="00B17AB2">
      <w:pPr>
        <w:pStyle w:val="Prrafodelista"/>
        <w:ind w:left="0"/>
        <w:jc w:val="both"/>
        <w:rPr>
          <w:rFonts w:ascii="Century Gothic" w:eastAsia="Times New Roman" w:hAnsi="Century Gothic" w:cs="Arial"/>
          <w:sz w:val="23"/>
          <w:szCs w:val="23"/>
        </w:rPr>
      </w:pPr>
    </w:p>
    <w:p w14:paraId="0DE8FF74" w14:textId="77777777" w:rsidR="00E92087" w:rsidRPr="00785F6D" w:rsidRDefault="00E92087" w:rsidP="00B17AB2">
      <w:pPr>
        <w:pStyle w:val="Prrafodelista"/>
        <w:ind w:left="0"/>
        <w:jc w:val="both"/>
        <w:rPr>
          <w:rFonts w:ascii="Century Gothic" w:eastAsia="Times New Roman" w:hAnsi="Century Gothic" w:cs="Arial"/>
          <w:sz w:val="23"/>
          <w:szCs w:val="23"/>
        </w:rPr>
      </w:pPr>
      <w:r w:rsidRPr="00785F6D">
        <w:rPr>
          <w:rFonts w:ascii="Century Gothic" w:eastAsia="Times New Roman" w:hAnsi="Century Gothic" w:cs="Arial"/>
          <w:sz w:val="23"/>
          <w:szCs w:val="23"/>
        </w:rPr>
        <w:t xml:space="preserve">Artículo 34. Se prohíben penas de destierro y confiscación. </w:t>
      </w:r>
    </w:p>
    <w:p w14:paraId="3E9CB266" w14:textId="77777777" w:rsidR="00E92087" w:rsidRPr="00785F6D" w:rsidRDefault="00E92087" w:rsidP="00B17AB2">
      <w:pPr>
        <w:pStyle w:val="Prrafodelista"/>
        <w:ind w:left="0"/>
        <w:jc w:val="both"/>
        <w:rPr>
          <w:rFonts w:ascii="Century Gothic" w:eastAsia="Times New Roman" w:hAnsi="Century Gothic" w:cs="Arial"/>
          <w:sz w:val="23"/>
          <w:szCs w:val="23"/>
        </w:rPr>
      </w:pPr>
    </w:p>
    <w:p w14:paraId="1C74C1CF" w14:textId="77777777" w:rsidR="00E92087" w:rsidRPr="00785F6D" w:rsidRDefault="00E92087" w:rsidP="00B17AB2">
      <w:pPr>
        <w:pStyle w:val="Prrafodelista"/>
        <w:ind w:left="0"/>
        <w:jc w:val="both"/>
        <w:rPr>
          <w:rFonts w:ascii="Century Gothic" w:eastAsia="Times New Roman" w:hAnsi="Century Gothic" w:cs="Arial"/>
          <w:sz w:val="23"/>
          <w:szCs w:val="23"/>
        </w:rPr>
      </w:pPr>
      <w:r w:rsidRPr="00785F6D">
        <w:rPr>
          <w:rFonts w:ascii="Century Gothic" w:eastAsia="Times New Roman" w:hAnsi="Century Gothic" w:cs="Arial"/>
          <w:sz w:val="23"/>
          <w:szCs w:val="23"/>
        </w:rPr>
        <w:t xml:space="preserve">No obstante, por sentencia judicial, se declara extinguido el dominio sobre los bienes adquiridos mediante enriquecimiento ilícito, en perjuicio del Tesoro Público o con grave deterioro de la moral social. </w:t>
      </w:r>
    </w:p>
    <w:p w14:paraId="463BD201" w14:textId="77777777" w:rsidR="00E92087" w:rsidRPr="00785F6D" w:rsidRDefault="00E92087" w:rsidP="00B17AB2">
      <w:pPr>
        <w:pStyle w:val="Prrafodelista"/>
        <w:ind w:left="0"/>
        <w:jc w:val="both"/>
        <w:rPr>
          <w:rFonts w:ascii="Century Gothic" w:eastAsia="Times New Roman" w:hAnsi="Century Gothic" w:cs="Arial"/>
          <w:sz w:val="23"/>
          <w:szCs w:val="23"/>
        </w:rPr>
      </w:pPr>
    </w:p>
    <w:p w14:paraId="7FF445DA" w14:textId="1D2B6205" w:rsidR="00E92087" w:rsidRPr="00785F6D" w:rsidRDefault="00E92087" w:rsidP="00B17AB2">
      <w:pPr>
        <w:pStyle w:val="Prrafodelista"/>
        <w:ind w:left="0"/>
        <w:jc w:val="both"/>
        <w:rPr>
          <w:rFonts w:ascii="Century Gothic" w:eastAsia="Times New Roman" w:hAnsi="Century Gothic" w:cs="Arial"/>
          <w:sz w:val="23"/>
          <w:szCs w:val="23"/>
        </w:rPr>
      </w:pPr>
      <w:r w:rsidRPr="00785F6D">
        <w:rPr>
          <w:rFonts w:ascii="Century Gothic" w:eastAsia="Times New Roman" w:hAnsi="Century Gothic" w:cs="Arial"/>
          <w:sz w:val="23"/>
          <w:szCs w:val="23"/>
        </w:rPr>
        <w:t>De manera excepcional cuando un niño, niña o adolescente sea víctima de las conductas de homicidio en modalidad dolosa, acceso carnal o actos sexual</w:t>
      </w:r>
      <w:r w:rsidR="00920F78" w:rsidRPr="00785F6D">
        <w:rPr>
          <w:rFonts w:ascii="Century Gothic" w:eastAsia="Times New Roman" w:hAnsi="Century Gothic" w:cs="Arial"/>
          <w:sz w:val="23"/>
          <w:szCs w:val="23"/>
        </w:rPr>
        <w:t>es que impliquen violencia o esté</w:t>
      </w:r>
      <w:r w:rsidRPr="00785F6D">
        <w:rPr>
          <w:rFonts w:ascii="Century Gothic" w:eastAsia="Times New Roman" w:hAnsi="Century Gothic" w:cs="Arial"/>
          <w:sz w:val="23"/>
          <w:szCs w:val="23"/>
        </w:rPr>
        <w:t xml:space="preserve"> en incapacidad de resistir, se podrá imponer como sanción hasta la pena de prisión </w:t>
      </w:r>
      <w:r w:rsidR="00B77F9D" w:rsidRPr="00785F6D">
        <w:rPr>
          <w:rFonts w:ascii="Century Gothic" w:eastAsia="Times New Roman" w:hAnsi="Century Gothic" w:cs="Arial"/>
          <w:sz w:val="23"/>
          <w:szCs w:val="23"/>
        </w:rPr>
        <w:t>perpetua</w:t>
      </w:r>
      <w:r w:rsidRPr="00785F6D">
        <w:rPr>
          <w:rFonts w:ascii="Century Gothic" w:eastAsia="Times New Roman" w:hAnsi="Century Gothic" w:cs="Arial"/>
          <w:sz w:val="23"/>
          <w:szCs w:val="23"/>
        </w:rPr>
        <w:t>.</w:t>
      </w:r>
    </w:p>
    <w:p w14:paraId="5928C610" w14:textId="77777777" w:rsidR="00E92087" w:rsidRPr="00785F6D" w:rsidRDefault="00E92087" w:rsidP="00B17AB2">
      <w:pPr>
        <w:pStyle w:val="Prrafodelista"/>
        <w:spacing w:after="0"/>
        <w:ind w:left="0"/>
        <w:jc w:val="both"/>
        <w:rPr>
          <w:rFonts w:ascii="Century Gothic" w:eastAsia="Times New Roman" w:hAnsi="Century Gothic" w:cs="Arial"/>
          <w:sz w:val="23"/>
          <w:szCs w:val="23"/>
        </w:rPr>
      </w:pPr>
    </w:p>
    <w:p w14:paraId="0C43360C" w14:textId="5D0FC9F2" w:rsidR="00E92087" w:rsidRPr="00785F6D" w:rsidRDefault="00E92087" w:rsidP="00B17AB2">
      <w:pPr>
        <w:pStyle w:val="Prrafodelista"/>
        <w:ind w:left="0"/>
        <w:jc w:val="both"/>
        <w:rPr>
          <w:rFonts w:ascii="Century Gothic" w:eastAsia="Times New Roman" w:hAnsi="Century Gothic" w:cs="Arial"/>
          <w:sz w:val="23"/>
          <w:szCs w:val="23"/>
        </w:rPr>
      </w:pPr>
      <w:r w:rsidRPr="00785F6D">
        <w:rPr>
          <w:rFonts w:ascii="Century Gothic" w:eastAsia="Times New Roman" w:hAnsi="Century Gothic" w:cs="Arial"/>
          <w:sz w:val="23"/>
          <w:szCs w:val="23"/>
        </w:rPr>
        <w:t xml:space="preserve">Toda </w:t>
      </w:r>
      <w:r w:rsidR="00920F78" w:rsidRPr="00785F6D">
        <w:rPr>
          <w:rFonts w:ascii="Century Gothic" w:eastAsia="Times New Roman" w:hAnsi="Century Gothic" w:cs="Arial"/>
          <w:sz w:val="23"/>
          <w:szCs w:val="23"/>
        </w:rPr>
        <w:t>pena de prisión</w:t>
      </w:r>
      <w:r w:rsidRPr="00785F6D">
        <w:rPr>
          <w:rFonts w:ascii="Century Gothic" w:eastAsia="Times New Roman" w:hAnsi="Century Gothic" w:cs="Arial"/>
          <w:sz w:val="23"/>
          <w:szCs w:val="23"/>
        </w:rPr>
        <w:t xml:space="preserve"> perpetua tendrá control automático ante el superior jerárquico.  </w:t>
      </w:r>
    </w:p>
    <w:p w14:paraId="097D22DC" w14:textId="77777777" w:rsidR="00E92087" w:rsidRPr="00785F6D" w:rsidRDefault="00E92087" w:rsidP="00B17AB2">
      <w:pPr>
        <w:spacing w:line="276" w:lineRule="auto"/>
        <w:jc w:val="both"/>
        <w:textAlignment w:val="center"/>
        <w:rPr>
          <w:rFonts w:ascii="Century Gothic" w:eastAsia="Times New Roman" w:hAnsi="Century Gothic" w:cs="Arial"/>
          <w:sz w:val="23"/>
          <w:szCs w:val="23"/>
        </w:rPr>
      </w:pPr>
      <w:r w:rsidRPr="00785F6D">
        <w:rPr>
          <w:rFonts w:ascii="Century Gothic" w:eastAsia="Times New Roman" w:hAnsi="Century Gothic" w:cs="Arial"/>
          <w:sz w:val="23"/>
          <w:szCs w:val="23"/>
        </w:rPr>
        <w:t>En todo caso la pena deberá ser revisada en un plazo no inferior a veinticinco (25) años, para evaluar la resocialización del condenado.</w:t>
      </w:r>
    </w:p>
    <w:p w14:paraId="20AF03C0" w14:textId="77777777" w:rsidR="00E92087" w:rsidRPr="00785F6D" w:rsidRDefault="00E92087" w:rsidP="00B17AB2">
      <w:pPr>
        <w:spacing w:line="276" w:lineRule="auto"/>
        <w:jc w:val="both"/>
        <w:textAlignment w:val="center"/>
        <w:rPr>
          <w:rFonts w:ascii="Century Gothic" w:eastAsia="Times New Roman" w:hAnsi="Century Gothic" w:cs="Arial"/>
          <w:sz w:val="23"/>
          <w:szCs w:val="23"/>
        </w:rPr>
      </w:pPr>
    </w:p>
    <w:p w14:paraId="752FAE92" w14:textId="6CD38506" w:rsidR="00E92087" w:rsidRPr="00785F6D" w:rsidRDefault="0024242C" w:rsidP="00B17AB2">
      <w:pPr>
        <w:spacing w:line="276" w:lineRule="auto"/>
        <w:jc w:val="both"/>
        <w:textAlignment w:val="center"/>
        <w:rPr>
          <w:rFonts w:ascii="Century Gothic" w:eastAsia="Times New Roman" w:hAnsi="Century Gothic" w:cs="Arial"/>
          <w:sz w:val="23"/>
          <w:szCs w:val="23"/>
        </w:rPr>
      </w:pPr>
      <w:r w:rsidRPr="00785F6D">
        <w:rPr>
          <w:rFonts w:ascii="Century Gothic" w:eastAsia="Times New Roman" w:hAnsi="Century Gothic" w:cs="Arial"/>
          <w:sz w:val="23"/>
          <w:szCs w:val="23"/>
        </w:rPr>
        <w:t>Una ley</w:t>
      </w:r>
      <w:r w:rsidR="00B77F9D" w:rsidRPr="00785F6D">
        <w:rPr>
          <w:rFonts w:ascii="Century Gothic" w:eastAsia="Times New Roman" w:hAnsi="Century Gothic" w:cs="Arial"/>
          <w:sz w:val="23"/>
          <w:szCs w:val="23"/>
        </w:rPr>
        <w:t xml:space="preserve"> reglamentará</w:t>
      </w:r>
      <w:r w:rsidR="00E92087" w:rsidRPr="00785F6D">
        <w:rPr>
          <w:rFonts w:ascii="Century Gothic" w:eastAsia="Times New Roman" w:hAnsi="Century Gothic" w:cs="Arial"/>
          <w:sz w:val="23"/>
          <w:szCs w:val="23"/>
        </w:rPr>
        <w:t xml:space="preserve"> la materia.</w:t>
      </w:r>
    </w:p>
    <w:p w14:paraId="4148FE5E" w14:textId="77777777" w:rsidR="00E92087" w:rsidRPr="00785F6D" w:rsidRDefault="00E92087" w:rsidP="00B17AB2">
      <w:pPr>
        <w:spacing w:line="276" w:lineRule="auto"/>
        <w:jc w:val="both"/>
        <w:textAlignment w:val="center"/>
        <w:rPr>
          <w:rFonts w:ascii="Century Gothic" w:eastAsia="Times New Roman" w:hAnsi="Century Gothic" w:cs="Arial"/>
          <w:sz w:val="23"/>
          <w:szCs w:val="23"/>
        </w:rPr>
      </w:pPr>
    </w:p>
    <w:p w14:paraId="28532235" w14:textId="6C39D22C" w:rsidR="00E92087" w:rsidRPr="00785F6D" w:rsidRDefault="00E92087" w:rsidP="00B17AB2">
      <w:pPr>
        <w:spacing w:line="276" w:lineRule="auto"/>
        <w:jc w:val="both"/>
        <w:textAlignment w:val="center"/>
        <w:rPr>
          <w:rFonts w:ascii="Century Gothic" w:eastAsia="Times New Roman" w:hAnsi="Century Gothic" w:cs="Arial"/>
          <w:b/>
          <w:sz w:val="23"/>
          <w:szCs w:val="23"/>
        </w:rPr>
      </w:pPr>
      <w:r w:rsidRPr="00785F6D">
        <w:rPr>
          <w:rFonts w:ascii="Century Gothic" w:eastAsia="Times New Roman" w:hAnsi="Century Gothic" w:cs="Arial"/>
          <w:b/>
          <w:sz w:val="23"/>
          <w:szCs w:val="23"/>
        </w:rPr>
        <w:t xml:space="preserve">Parágrafo transitorio: </w:t>
      </w:r>
      <w:r w:rsidRPr="00785F6D">
        <w:rPr>
          <w:rFonts w:ascii="Century Gothic" w:eastAsia="Times New Roman" w:hAnsi="Century Gothic" w:cs="Arial"/>
          <w:sz w:val="23"/>
          <w:szCs w:val="23"/>
        </w:rPr>
        <w:t>El</w:t>
      </w:r>
      <w:r w:rsidRPr="00785F6D">
        <w:rPr>
          <w:rFonts w:ascii="Century Gothic" w:hAnsi="Century Gothic" w:cs="Arial"/>
          <w:sz w:val="23"/>
          <w:szCs w:val="23"/>
        </w:rPr>
        <w:t xml:space="preserve"> Gobierno Nacional contará con un (1) año contado a partir de la fecha de promulgación del presente acto legislativo, para radicar ante el Congreso de </w:t>
      </w:r>
      <w:r w:rsidR="0024242C" w:rsidRPr="00785F6D">
        <w:rPr>
          <w:rFonts w:ascii="Century Gothic" w:hAnsi="Century Gothic" w:cs="Arial"/>
          <w:sz w:val="23"/>
          <w:szCs w:val="23"/>
        </w:rPr>
        <w:t xml:space="preserve">la República el proyecto de ley </w:t>
      </w:r>
      <w:r w:rsidRPr="00785F6D">
        <w:rPr>
          <w:rFonts w:ascii="Century Gothic" w:hAnsi="Century Gothic" w:cs="Arial"/>
          <w:sz w:val="23"/>
          <w:szCs w:val="23"/>
        </w:rPr>
        <w:t>que reglamente la materia.</w:t>
      </w:r>
    </w:p>
    <w:p w14:paraId="18541EBA" w14:textId="77777777" w:rsidR="00E92087" w:rsidRPr="00785F6D" w:rsidRDefault="00E92087" w:rsidP="00B17AB2">
      <w:pPr>
        <w:spacing w:line="276" w:lineRule="auto"/>
        <w:jc w:val="both"/>
        <w:textAlignment w:val="center"/>
        <w:rPr>
          <w:rFonts w:ascii="Century Gothic" w:eastAsia="Times New Roman" w:hAnsi="Century Gothic" w:cs="Arial"/>
          <w:b/>
          <w:sz w:val="23"/>
          <w:szCs w:val="23"/>
        </w:rPr>
      </w:pPr>
    </w:p>
    <w:p w14:paraId="6E2B8661" w14:textId="77777777" w:rsidR="00E92087" w:rsidRPr="00785F6D" w:rsidRDefault="00E92087" w:rsidP="00B17AB2">
      <w:pPr>
        <w:spacing w:line="276" w:lineRule="auto"/>
        <w:jc w:val="both"/>
        <w:rPr>
          <w:rFonts w:ascii="Century Gothic" w:eastAsia="Times New Roman" w:hAnsi="Century Gothic" w:cs="Arial"/>
          <w:sz w:val="23"/>
          <w:szCs w:val="23"/>
        </w:rPr>
      </w:pPr>
      <w:r w:rsidRPr="00785F6D">
        <w:rPr>
          <w:rFonts w:ascii="Century Gothic" w:eastAsia="Times New Roman" w:hAnsi="Century Gothic" w:cs="Arial"/>
          <w:b/>
          <w:sz w:val="23"/>
          <w:szCs w:val="23"/>
        </w:rPr>
        <w:t>Artículo 2º.</w:t>
      </w:r>
      <w:r w:rsidRPr="00785F6D">
        <w:rPr>
          <w:rFonts w:ascii="Century Gothic" w:eastAsia="Times New Roman" w:hAnsi="Century Gothic" w:cs="Arial"/>
          <w:sz w:val="23"/>
          <w:szCs w:val="23"/>
        </w:rPr>
        <w:t xml:space="preserve"> El presente acto legislativo rige a partir de la fecha de su promulgación.</w:t>
      </w:r>
    </w:p>
    <w:p w14:paraId="16CF3C04" w14:textId="77777777" w:rsidR="00E92087" w:rsidRPr="00785F6D" w:rsidRDefault="00E92087" w:rsidP="00B17AB2">
      <w:pPr>
        <w:spacing w:line="276" w:lineRule="auto"/>
        <w:ind w:right="193"/>
        <w:jc w:val="both"/>
        <w:textAlignment w:val="center"/>
        <w:rPr>
          <w:rFonts w:ascii="Century Gothic" w:eastAsia="Times New Roman" w:hAnsi="Century Gothic" w:cs="Arial"/>
          <w:sz w:val="23"/>
          <w:szCs w:val="23"/>
        </w:rPr>
      </w:pPr>
    </w:p>
    <w:p w14:paraId="0EC7560C" w14:textId="77777777" w:rsidR="00FF562B" w:rsidRPr="00785F6D" w:rsidRDefault="00FF562B" w:rsidP="00B17AB2">
      <w:pPr>
        <w:spacing w:after="240" w:line="276" w:lineRule="auto"/>
        <w:jc w:val="both"/>
        <w:rPr>
          <w:rFonts w:ascii="Century Gothic" w:hAnsi="Century Gothic" w:cs="Arial"/>
          <w:sz w:val="23"/>
          <w:szCs w:val="23"/>
        </w:rPr>
      </w:pPr>
    </w:p>
    <w:p w14:paraId="3B78521B" w14:textId="77777777" w:rsidR="00486128" w:rsidRPr="00A7215D" w:rsidRDefault="00486128" w:rsidP="00486128">
      <w:pPr>
        <w:spacing w:after="240" w:line="276" w:lineRule="auto"/>
        <w:jc w:val="both"/>
        <w:rPr>
          <w:rFonts w:ascii="Century Gothic" w:hAnsi="Century Gothic" w:cs="Arial"/>
          <w:sz w:val="14"/>
          <w:szCs w:val="14"/>
        </w:rPr>
      </w:pPr>
      <w:r w:rsidRPr="00A7215D">
        <w:rPr>
          <w:rFonts w:ascii="Century Gothic" w:hAnsi="Century Gothic" w:cs="Arial"/>
          <w:sz w:val="14"/>
          <w:szCs w:val="14"/>
        </w:rPr>
        <w:lastRenderedPageBreak/>
        <w:t>Continuación ponencia positiva Proyecto de Acto Legislativo 001 de 2019 Cámara acumulado con el</w:t>
      </w:r>
      <w:r w:rsidRPr="00A7215D">
        <w:rPr>
          <w:rFonts w:ascii="Century Gothic" w:hAnsi="Century Gothic" w:cs="Arial"/>
          <w:i/>
          <w:sz w:val="14"/>
          <w:szCs w:val="14"/>
        </w:rPr>
        <w:t xml:space="preserve"> </w:t>
      </w:r>
      <w:r w:rsidRPr="00A7215D">
        <w:rPr>
          <w:rFonts w:ascii="Century Gothic" w:hAnsi="Century Gothic" w:cs="Arial"/>
          <w:sz w:val="14"/>
          <w:szCs w:val="14"/>
        </w:rPr>
        <w:t>Proyecto de Acto Legislativo 047 de 2019 Cámara.</w:t>
      </w:r>
    </w:p>
    <w:p w14:paraId="5A3CEDF5" w14:textId="11F2A4A3" w:rsidR="00357F8A" w:rsidRPr="002D6F59" w:rsidRDefault="00357F8A" w:rsidP="00B17AB2">
      <w:pPr>
        <w:spacing w:after="240" w:line="276" w:lineRule="auto"/>
        <w:jc w:val="both"/>
        <w:rPr>
          <w:rFonts w:ascii="Century Gothic" w:hAnsi="Century Gothic" w:cs="Arial"/>
        </w:rPr>
      </w:pPr>
      <w:r w:rsidRPr="002D6F59">
        <w:rPr>
          <w:rFonts w:ascii="Century Gothic" w:hAnsi="Century Gothic" w:cs="Arial"/>
        </w:rPr>
        <w:t>Cordialmente,</w:t>
      </w:r>
    </w:p>
    <w:p w14:paraId="6E81AFD6" w14:textId="77777777" w:rsidR="00357F8A" w:rsidRPr="002D6F59" w:rsidRDefault="00357F8A" w:rsidP="00B17AB2">
      <w:pPr>
        <w:spacing w:line="276" w:lineRule="auto"/>
        <w:jc w:val="both"/>
        <w:rPr>
          <w:rFonts w:ascii="Century Gothic" w:hAnsi="Century Gothic" w:cs="Arial"/>
        </w:rPr>
      </w:pPr>
    </w:p>
    <w:p w14:paraId="7D93183D" w14:textId="77777777" w:rsidR="00CC4B24" w:rsidRPr="002D6F59" w:rsidRDefault="00CC4B24" w:rsidP="00B17AB2">
      <w:pPr>
        <w:spacing w:line="276" w:lineRule="auto"/>
        <w:jc w:val="both"/>
        <w:rPr>
          <w:rFonts w:ascii="Century Gothic" w:hAnsi="Century Gothic" w:cs="Arial"/>
        </w:rPr>
      </w:pPr>
    </w:p>
    <w:p w14:paraId="5124769A" w14:textId="77777777" w:rsidR="00CC4B24" w:rsidRPr="002D6F59" w:rsidRDefault="00CC4B24" w:rsidP="00B17AB2">
      <w:pPr>
        <w:spacing w:line="276" w:lineRule="auto"/>
        <w:jc w:val="both"/>
        <w:rPr>
          <w:rFonts w:ascii="Century Gothic" w:hAnsi="Century Gothic" w:cs="Arial"/>
        </w:rPr>
      </w:pPr>
    </w:p>
    <w:p w14:paraId="3A3076DF" w14:textId="30B8E8D0" w:rsidR="00357F8A" w:rsidRPr="002D6F59" w:rsidRDefault="00357F8A" w:rsidP="00B17AB2">
      <w:pPr>
        <w:spacing w:line="276" w:lineRule="auto"/>
        <w:jc w:val="both"/>
        <w:rPr>
          <w:rFonts w:ascii="Century Gothic" w:hAnsi="Century Gothic" w:cs="Arial"/>
          <w:b/>
        </w:rPr>
      </w:pPr>
      <w:r w:rsidRPr="002D6F59">
        <w:rPr>
          <w:rFonts w:ascii="Century Gothic" w:hAnsi="Century Gothic" w:cs="Arial"/>
          <w:b/>
        </w:rPr>
        <w:t>ADRIANA MAGALI MATIZ VARGAS</w:t>
      </w:r>
      <w:r w:rsidR="00CC4B24" w:rsidRPr="002D6F59">
        <w:rPr>
          <w:rFonts w:ascii="Century Gothic" w:hAnsi="Century Gothic" w:cs="Arial"/>
          <w:b/>
        </w:rPr>
        <w:t xml:space="preserve">-C  </w:t>
      </w:r>
      <w:r w:rsidR="00FF562B">
        <w:rPr>
          <w:rFonts w:ascii="Century Gothic" w:hAnsi="Century Gothic" w:cs="Arial"/>
          <w:b/>
        </w:rPr>
        <w:t xml:space="preserve">       </w:t>
      </w:r>
      <w:r w:rsidRPr="002D6F59">
        <w:rPr>
          <w:rFonts w:ascii="Century Gothic" w:hAnsi="Century Gothic" w:cs="Arial"/>
          <w:b/>
        </w:rPr>
        <w:t>CESAR AUGUSTO LORDUY MALDONADO</w:t>
      </w:r>
    </w:p>
    <w:p w14:paraId="704D1CC8" w14:textId="51A18D6F" w:rsidR="00357F8A" w:rsidRPr="002D6F59" w:rsidRDefault="00357F8A" w:rsidP="00B17AB2">
      <w:pPr>
        <w:spacing w:line="276" w:lineRule="auto"/>
        <w:jc w:val="both"/>
        <w:rPr>
          <w:rFonts w:ascii="Century Gothic" w:hAnsi="Century Gothic" w:cs="Arial"/>
        </w:rPr>
      </w:pPr>
      <w:r w:rsidRPr="002D6F59">
        <w:rPr>
          <w:rFonts w:ascii="Century Gothic" w:hAnsi="Century Gothic" w:cs="Arial"/>
          <w:b/>
        </w:rPr>
        <w:t xml:space="preserve">      </w:t>
      </w:r>
      <w:r w:rsidRPr="002D6F59">
        <w:rPr>
          <w:rFonts w:ascii="Century Gothic" w:hAnsi="Century Gothic" w:cs="Arial"/>
        </w:rPr>
        <w:t xml:space="preserve">Representante a la Cámara                        Representante a la Cámara </w:t>
      </w:r>
    </w:p>
    <w:p w14:paraId="59560FBA" w14:textId="77777777" w:rsidR="00357F8A" w:rsidRPr="002D6F59" w:rsidRDefault="00357F8A" w:rsidP="00B17AB2">
      <w:pPr>
        <w:spacing w:line="276" w:lineRule="auto"/>
        <w:jc w:val="both"/>
        <w:rPr>
          <w:rFonts w:ascii="Century Gothic" w:hAnsi="Century Gothic" w:cs="Arial"/>
          <w:b/>
        </w:rPr>
      </w:pPr>
    </w:p>
    <w:p w14:paraId="55A64223" w14:textId="77777777" w:rsidR="00357F8A" w:rsidRPr="002D6F59" w:rsidRDefault="00357F8A" w:rsidP="00B17AB2">
      <w:pPr>
        <w:spacing w:line="276" w:lineRule="auto"/>
        <w:jc w:val="both"/>
        <w:rPr>
          <w:rFonts w:ascii="Century Gothic" w:hAnsi="Century Gothic" w:cs="Arial"/>
          <w:b/>
        </w:rPr>
      </w:pPr>
    </w:p>
    <w:p w14:paraId="6644244F" w14:textId="77777777" w:rsidR="00357F8A" w:rsidRPr="002D6F59" w:rsidRDefault="00357F8A" w:rsidP="00B17AB2">
      <w:pPr>
        <w:spacing w:line="276" w:lineRule="auto"/>
        <w:jc w:val="both"/>
        <w:rPr>
          <w:rFonts w:ascii="Century Gothic" w:hAnsi="Century Gothic" w:cs="Arial"/>
          <w:b/>
        </w:rPr>
      </w:pPr>
    </w:p>
    <w:p w14:paraId="5F31E49B" w14:textId="77777777" w:rsidR="00357F8A" w:rsidRPr="002D6F59" w:rsidRDefault="00357F8A" w:rsidP="00B17AB2">
      <w:pPr>
        <w:spacing w:line="276" w:lineRule="auto"/>
        <w:jc w:val="both"/>
        <w:rPr>
          <w:rFonts w:ascii="Century Gothic" w:hAnsi="Century Gothic" w:cs="Arial"/>
          <w:b/>
        </w:rPr>
      </w:pPr>
    </w:p>
    <w:p w14:paraId="181BFC75" w14:textId="6CB502BB" w:rsidR="00357F8A" w:rsidRPr="002D6F59" w:rsidRDefault="00357F8A" w:rsidP="00B17AB2">
      <w:pPr>
        <w:spacing w:line="276" w:lineRule="auto"/>
        <w:jc w:val="both"/>
        <w:rPr>
          <w:rFonts w:ascii="Century Gothic" w:hAnsi="Century Gothic" w:cs="Arial"/>
          <w:b/>
        </w:rPr>
      </w:pPr>
      <w:r w:rsidRPr="002D6F59">
        <w:rPr>
          <w:rFonts w:ascii="Century Gothic" w:hAnsi="Century Gothic" w:cs="Arial"/>
          <w:b/>
        </w:rPr>
        <w:t xml:space="preserve">HARRY GIOVANNY GONZÁLEZ GARCIA     </w:t>
      </w:r>
      <w:r w:rsidR="00FF562B">
        <w:rPr>
          <w:rFonts w:ascii="Century Gothic" w:hAnsi="Century Gothic" w:cs="Arial"/>
          <w:b/>
        </w:rPr>
        <w:t xml:space="preserve">  </w:t>
      </w:r>
      <w:r w:rsidRPr="002D6F59">
        <w:rPr>
          <w:rFonts w:ascii="Century Gothic" w:hAnsi="Century Gothic" w:cs="Arial"/>
          <w:b/>
        </w:rPr>
        <w:t xml:space="preserve"> JOSÉ JAIME USCATEGUI PASTRANA                                       </w:t>
      </w:r>
    </w:p>
    <w:p w14:paraId="04B0C86F" w14:textId="5DEBC139" w:rsidR="00357F8A" w:rsidRPr="002D6F59" w:rsidRDefault="00357F8A" w:rsidP="00B17AB2">
      <w:pPr>
        <w:spacing w:line="276" w:lineRule="auto"/>
        <w:jc w:val="both"/>
        <w:rPr>
          <w:rFonts w:ascii="Century Gothic" w:hAnsi="Century Gothic" w:cs="Arial"/>
        </w:rPr>
      </w:pPr>
      <w:r w:rsidRPr="002D6F59">
        <w:rPr>
          <w:rFonts w:ascii="Century Gothic" w:hAnsi="Century Gothic" w:cs="Arial"/>
        </w:rPr>
        <w:t xml:space="preserve">            Representante a la Cámara                    Representante a la Cámara</w:t>
      </w:r>
    </w:p>
    <w:p w14:paraId="0D05F915" w14:textId="77777777" w:rsidR="00357F8A" w:rsidRPr="002D6F59" w:rsidRDefault="00357F8A" w:rsidP="00B17AB2">
      <w:pPr>
        <w:spacing w:line="276" w:lineRule="auto"/>
        <w:jc w:val="both"/>
        <w:rPr>
          <w:rFonts w:ascii="Century Gothic" w:hAnsi="Century Gothic" w:cs="Arial"/>
          <w:b/>
        </w:rPr>
      </w:pPr>
    </w:p>
    <w:p w14:paraId="39315B4B" w14:textId="77777777" w:rsidR="00357F8A" w:rsidRPr="002D6F59" w:rsidRDefault="00357F8A" w:rsidP="00B17AB2">
      <w:pPr>
        <w:spacing w:line="276" w:lineRule="auto"/>
        <w:jc w:val="both"/>
        <w:rPr>
          <w:rFonts w:ascii="Century Gothic" w:hAnsi="Century Gothic" w:cs="Arial"/>
          <w:b/>
        </w:rPr>
      </w:pPr>
    </w:p>
    <w:p w14:paraId="35881CB8" w14:textId="77777777" w:rsidR="00357F8A" w:rsidRPr="002D6F59" w:rsidRDefault="00357F8A" w:rsidP="00B17AB2">
      <w:pPr>
        <w:spacing w:line="276" w:lineRule="auto"/>
        <w:jc w:val="both"/>
        <w:rPr>
          <w:rFonts w:ascii="Century Gothic" w:hAnsi="Century Gothic" w:cs="Arial"/>
          <w:b/>
        </w:rPr>
      </w:pPr>
    </w:p>
    <w:p w14:paraId="41C29BD4" w14:textId="77777777" w:rsidR="00357F8A" w:rsidRPr="002D6F59" w:rsidRDefault="00357F8A" w:rsidP="00B17AB2">
      <w:pPr>
        <w:spacing w:line="276" w:lineRule="auto"/>
        <w:jc w:val="center"/>
        <w:rPr>
          <w:rFonts w:ascii="Century Gothic" w:hAnsi="Century Gothic" w:cs="Arial"/>
          <w:b/>
        </w:rPr>
      </w:pPr>
      <w:r w:rsidRPr="002D6F59">
        <w:rPr>
          <w:rFonts w:ascii="Century Gothic" w:hAnsi="Century Gothic" w:cs="Arial"/>
          <w:b/>
        </w:rPr>
        <w:t xml:space="preserve">  ELBERT DIAZ LOZANO</w:t>
      </w:r>
    </w:p>
    <w:p w14:paraId="61E0FDD0" w14:textId="77777777" w:rsidR="00357F8A" w:rsidRPr="002D6F59" w:rsidRDefault="00357F8A" w:rsidP="00B17AB2">
      <w:pPr>
        <w:spacing w:line="276" w:lineRule="auto"/>
        <w:jc w:val="center"/>
        <w:rPr>
          <w:rFonts w:ascii="Century Gothic" w:hAnsi="Century Gothic" w:cs="Arial"/>
        </w:rPr>
      </w:pPr>
      <w:r w:rsidRPr="002D6F59">
        <w:rPr>
          <w:rFonts w:ascii="Century Gothic" w:hAnsi="Century Gothic" w:cs="Arial"/>
        </w:rPr>
        <w:t xml:space="preserve"> Representante a la Cámara</w:t>
      </w:r>
    </w:p>
    <w:p w14:paraId="0F7600B0" w14:textId="77777777" w:rsidR="00357F8A" w:rsidRPr="002D6F59" w:rsidRDefault="00357F8A" w:rsidP="00B17AB2">
      <w:pPr>
        <w:spacing w:line="276" w:lineRule="auto"/>
        <w:ind w:right="193"/>
        <w:jc w:val="both"/>
        <w:textAlignment w:val="center"/>
        <w:rPr>
          <w:rFonts w:ascii="Century Gothic" w:hAnsi="Century Gothic" w:cs="Arial"/>
          <w:color w:val="000000"/>
          <w:lang w:eastAsia="es-CO"/>
        </w:rPr>
      </w:pPr>
    </w:p>
    <w:p w14:paraId="1FFBDA0D" w14:textId="1BE8D7D4" w:rsidR="00825836" w:rsidRPr="002D6F59" w:rsidRDefault="00825836" w:rsidP="00B17AB2">
      <w:pPr>
        <w:spacing w:line="276" w:lineRule="auto"/>
        <w:jc w:val="both"/>
        <w:rPr>
          <w:rFonts w:ascii="Century Gothic" w:hAnsi="Century Gothic" w:cs="Arial"/>
        </w:rPr>
      </w:pPr>
    </w:p>
    <w:p w14:paraId="4EAC8ED8" w14:textId="4CF0E277" w:rsidR="00825836" w:rsidRPr="002D6F59" w:rsidRDefault="00825836" w:rsidP="00B17AB2">
      <w:pPr>
        <w:spacing w:line="276" w:lineRule="auto"/>
        <w:jc w:val="both"/>
        <w:rPr>
          <w:rFonts w:ascii="Century Gothic" w:hAnsi="Century Gothic" w:cs="Arial"/>
        </w:rPr>
      </w:pPr>
    </w:p>
    <w:p w14:paraId="502CBB95" w14:textId="5F25207D" w:rsidR="00825836" w:rsidRPr="002D6F59" w:rsidRDefault="00825836" w:rsidP="00B17AB2">
      <w:pPr>
        <w:spacing w:line="276" w:lineRule="auto"/>
        <w:jc w:val="both"/>
        <w:rPr>
          <w:rFonts w:ascii="Century Gothic" w:hAnsi="Century Gothic" w:cs="Arial"/>
        </w:rPr>
      </w:pPr>
    </w:p>
    <w:p w14:paraId="2E5C41B0" w14:textId="2450D475" w:rsidR="00825836" w:rsidRPr="002D6F59" w:rsidRDefault="00825836" w:rsidP="00B17AB2">
      <w:pPr>
        <w:spacing w:line="276" w:lineRule="auto"/>
        <w:jc w:val="both"/>
        <w:rPr>
          <w:rFonts w:ascii="Century Gothic" w:hAnsi="Century Gothic" w:cs="Arial"/>
        </w:rPr>
      </w:pPr>
    </w:p>
    <w:p w14:paraId="4BF345F9" w14:textId="4ED04782" w:rsidR="00825836" w:rsidRPr="002D6F59" w:rsidRDefault="00825836" w:rsidP="00B17AB2">
      <w:pPr>
        <w:spacing w:line="276" w:lineRule="auto"/>
        <w:jc w:val="both"/>
        <w:rPr>
          <w:rFonts w:ascii="Century Gothic" w:hAnsi="Century Gothic" w:cs="Arial"/>
        </w:rPr>
      </w:pPr>
    </w:p>
    <w:p w14:paraId="27542F34" w14:textId="63A3A3B9" w:rsidR="00825836" w:rsidRPr="002D6F59" w:rsidRDefault="00825836" w:rsidP="00B17AB2">
      <w:pPr>
        <w:spacing w:line="276" w:lineRule="auto"/>
        <w:jc w:val="both"/>
        <w:rPr>
          <w:rFonts w:ascii="Century Gothic" w:hAnsi="Century Gothic" w:cs="Arial"/>
        </w:rPr>
      </w:pPr>
    </w:p>
    <w:p w14:paraId="17CCD523" w14:textId="28196CE5" w:rsidR="00825836" w:rsidRPr="002D6F59" w:rsidRDefault="00825836" w:rsidP="00B17AB2">
      <w:pPr>
        <w:spacing w:line="276" w:lineRule="auto"/>
        <w:jc w:val="both"/>
        <w:rPr>
          <w:rFonts w:ascii="Century Gothic" w:hAnsi="Century Gothic" w:cs="Arial"/>
        </w:rPr>
      </w:pPr>
    </w:p>
    <w:p w14:paraId="7273441C" w14:textId="4B08EBD8" w:rsidR="00825836" w:rsidRPr="002D6F59" w:rsidRDefault="00825836" w:rsidP="00B17AB2">
      <w:pPr>
        <w:spacing w:line="276" w:lineRule="auto"/>
        <w:jc w:val="both"/>
        <w:rPr>
          <w:rFonts w:ascii="Century Gothic" w:hAnsi="Century Gothic" w:cs="Arial"/>
        </w:rPr>
      </w:pPr>
    </w:p>
    <w:p w14:paraId="304C991B" w14:textId="059A8045" w:rsidR="00825836" w:rsidRPr="002D6F59" w:rsidRDefault="00825836" w:rsidP="00B17AB2">
      <w:pPr>
        <w:spacing w:line="276" w:lineRule="auto"/>
        <w:jc w:val="both"/>
        <w:rPr>
          <w:rFonts w:ascii="Century Gothic" w:hAnsi="Century Gothic" w:cs="Arial"/>
        </w:rPr>
      </w:pPr>
    </w:p>
    <w:p w14:paraId="13379A48" w14:textId="57266D02" w:rsidR="00825836" w:rsidRPr="002D6F59" w:rsidRDefault="00825836" w:rsidP="00B17AB2">
      <w:pPr>
        <w:spacing w:line="276" w:lineRule="auto"/>
        <w:jc w:val="both"/>
        <w:rPr>
          <w:rFonts w:ascii="Century Gothic" w:hAnsi="Century Gothic" w:cs="Arial"/>
        </w:rPr>
      </w:pPr>
    </w:p>
    <w:p w14:paraId="7830D00C" w14:textId="03AA52E6" w:rsidR="00825836" w:rsidRPr="002D6F59" w:rsidRDefault="00825836" w:rsidP="00B17AB2">
      <w:pPr>
        <w:spacing w:line="276" w:lineRule="auto"/>
        <w:jc w:val="both"/>
        <w:rPr>
          <w:rFonts w:ascii="Century Gothic" w:hAnsi="Century Gothic" w:cs="Arial"/>
        </w:rPr>
      </w:pPr>
    </w:p>
    <w:p w14:paraId="383B02D1" w14:textId="77777777" w:rsidR="00825836" w:rsidRPr="002D6F59" w:rsidRDefault="00825836" w:rsidP="00B17AB2">
      <w:pPr>
        <w:spacing w:line="276" w:lineRule="auto"/>
        <w:jc w:val="both"/>
        <w:rPr>
          <w:rFonts w:ascii="Century Gothic" w:hAnsi="Century Gothic" w:cs="Arial"/>
        </w:rPr>
      </w:pPr>
    </w:p>
    <w:p w14:paraId="295F72AA" w14:textId="77777777" w:rsidR="00A16881" w:rsidRPr="002D6F59" w:rsidRDefault="00A16881" w:rsidP="00B17AB2">
      <w:pPr>
        <w:spacing w:line="276" w:lineRule="auto"/>
        <w:jc w:val="both"/>
        <w:rPr>
          <w:rFonts w:ascii="Century Gothic" w:hAnsi="Century Gothic" w:cs="Arial"/>
        </w:rPr>
      </w:pPr>
    </w:p>
    <w:p w14:paraId="204A5766" w14:textId="77777777" w:rsidR="00793F85" w:rsidRPr="002D6F59" w:rsidRDefault="00793F85" w:rsidP="00B17AB2">
      <w:pPr>
        <w:spacing w:line="276" w:lineRule="auto"/>
        <w:jc w:val="both"/>
        <w:rPr>
          <w:rFonts w:ascii="Century Gothic" w:hAnsi="Century Gothic" w:cs="Arial"/>
          <w:b/>
        </w:rPr>
      </w:pPr>
    </w:p>
    <w:p w14:paraId="316E513A" w14:textId="77777777" w:rsidR="00141E7A" w:rsidRPr="002D6F59" w:rsidRDefault="00141E7A" w:rsidP="00B17AB2">
      <w:pPr>
        <w:spacing w:after="240" w:line="276" w:lineRule="auto"/>
        <w:jc w:val="center"/>
        <w:rPr>
          <w:rFonts w:ascii="Century Gothic" w:hAnsi="Century Gothic" w:cs="Arial"/>
          <w:b/>
          <w:caps/>
        </w:rPr>
      </w:pPr>
    </w:p>
    <w:p w14:paraId="54D51F02" w14:textId="5AC8FC4C" w:rsidR="00E92087" w:rsidRPr="002D6F59" w:rsidRDefault="00E92087" w:rsidP="00B17AB2">
      <w:pPr>
        <w:spacing w:line="276" w:lineRule="auto"/>
        <w:rPr>
          <w:rFonts w:ascii="Century Gothic" w:hAnsi="Century Gothic" w:cs="Arial"/>
          <w:sz w:val="22"/>
          <w:szCs w:val="22"/>
        </w:rPr>
      </w:pPr>
    </w:p>
    <w:sectPr w:rsidR="00E92087" w:rsidRPr="002D6F59" w:rsidSect="00793F85">
      <w:headerReference w:type="default" r:id="rId29"/>
      <w:footerReference w:type="default" r:id="rId30"/>
      <w:pgSz w:w="12240" w:h="15840" w:code="1"/>
      <w:pgMar w:top="1418" w:right="1701" w:bottom="1418" w:left="1418"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0D5B7" w14:textId="77777777" w:rsidR="00774577" w:rsidRDefault="00774577" w:rsidP="00325533">
      <w:r>
        <w:separator/>
      </w:r>
    </w:p>
  </w:endnote>
  <w:endnote w:type="continuationSeparator" w:id="0">
    <w:p w14:paraId="27408617" w14:textId="77777777" w:rsidR="00774577" w:rsidRDefault="00774577" w:rsidP="00325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9BD32" w14:textId="77777777" w:rsidR="00251E2E" w:rsidRDefault="00251E2E" w:rsidP="00793F85">
    <w:pPr>
      <w:pStyle w:val="Piedepgina"/>
      <w:jc w:val="center"/>
    </w:pPr>
    <w:r w:rsidRPr="00CC3C2A">
      <w:rPr>
        <w:noProof/>
        <w:sz w:val="16"/>
        <w:szCs w:val="16"/>
        <w:lang w:eastAsia="es-CO"/>
      </w:rPr>
      <w:drawing>
        <wp:inline distT="0" distB="0" distL="0" distR="0" wp14:anchorId="3940EA2A" wp14:editId="0A64218E">
          <wp:extent cx="3114155" cy="2844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967" cy="290058"/>
                  </a:xfrm>
                  <a:prstGeom prst="rect">
                    <a:avLst/>
                  </a:prstGeom>
                  <a:noFill/>
                  <a:ln>
                    <a:noFill/>
                  </a:ln>
                </pic:spPr>
              </pic:pic>
            </a:graphicData>
          </a:graphic>
        </wp:inline>
      </w:drawing>
    </w:r>
  </w:p>
  <w:p w14:paraId="1B3C1264" w14:textId="5007A719" w:rsidR="00251E2E" w:rsidRPr="00793F85" w:rsidRDefault="00251E2E" w:rsidP="00793F85">
    <w:pPr>
      <w:pStyle w:val="Piedepgina"/>
      <w:jc w:val="center"/>
      <w:rPr>
        <w:rFonts w:ascii="Century Gothic" w:hAnsi="Century Gothic"/>
      </w:rPr>
    </w:pPr>
    <w:r w:rsidRPr="00793F85">
      <w:rPr>
        <w:rFonts w:ascii="Century Gothic" w:hAnsi="Century Gothic"/>
        <w:spacing w:val="60"/>
        <w:sz w:val="16"/>
        <w:szCs w:val="16"/>
      </w:rPr>
      <w:t xml:space="preserve">Cra. 7ª No. 8-68 </w:t>
    </w:r>
  </w:p>
  <w:p w14:paraId="69151ED2" w14:textId="77301D25" w:rsidR="00251E2E" w:rsidRPr="00793F85" w:rsidRDefault="00251E2E" w:rsidP="00793F85">
    <w:pPr>
      <w:pStyle w:val="Piedepgina"/>
      <w:jc w:val="center"/>
      <w:rPr>
        <w:rFonts w:ascii="Century Gothic" w:hAnsi="Century Gothic"/>
        <w:sz w:val="16"/>
        <w:szCs w:val="16"/>
      </w:rPr>
    </w:pPr>
    <w:r w:rsidRPr="00793F85">
      <w:rPr>
        <w:rFonts w:ascii="Century Gothic" w:hAnsi="Century Gothic"/>
        <w:spacing w:val="60"/>
        <w:sz w:val="16"/>
        <w:szCs w:val="16"/>
      </w:rPr>
      <w:t>Bogotá, D.C. - Colombia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B111F" w14:textId="77777777" w:rsidR="00774577" w:rsidRDefault="00774577" w:rsidP="00325533">
      <w:r>
        <w:separator/>
      </w:r>
    </w:p>
  </w:footnote>
  <w:footnote w:type="continuationSeparator" w:id="0">
    <w:p w14:paraId="429D68F9" w14:textId="77777777" w:rsidR="00774577" w:rsidRDefault="00774577" w:rsidP="00325533">
      <w:r>
        <w:continuationSeparator/>
      </w:r>
    </w:p>
  </w:footnote>
  <w:footnote w:id="1">
    <w:p w14:paraId="3CB25E0A" w14:textId="77777777" w:rsidR="00251E2E" w:rsidRPr="005627A0" w:rsidRDefault="00251E2E" w:rsidP="00BC121A">
      <w:pPr>
        <w:pStyle w:val="Textonotapie"/>
        <w:jc w:val="both"/>
        <w:rPr>
          <w:rFonts w:ascii="Century Gothic" w:hAnsi="Century Gothic"/>
          <w:sz w:val="16"/>
          <w:szCs w:val="16"/>
        </w:rPr>
      </w:pPr>
      <w:r w:rsidRPr="005627A0">
        <w:rPr>
          <w:rStyle w:val="Refdenotaalpie"/>
          <w:rFonts w:ascii="Century Gothic" w:hAnsi="Century Gothic"/>
          <w:sz w:val="16"/>
          <w:szCs w:val="16"/>
        </w:rPr>
        <w:footnoteRef/>
      </w:r>
      <w:r w:rsidRPr="005627A0">
        <w:rPr>
          <w:rFonts w:ascii="Century Gothic" w:hAnsi="Century Gothic"/>
          <w:sz w:val="16"/>
          <w:szCs w:val="16"/>
        </w:rPr>
        <w:t xml:space="preserve"> </w:t>
      </w:r>
      <w:hyperlink r:id="rId1" w:history="1">
        <w:r w:rsidRPr="005627A0">
          <w:rPr>
            <w:rStyle w:val="Hipervnculo"/>
            <w:rFonts w:ascii="Century Gothic" w:hAnsi="Century Gothic"/>
            <w:sz w:val="16"/>
            <w:szCs w:val="16"/>
          </w:rPr>
          <w:t>https://www.unicef.org/protection/files/Evidence_Review_SEA_(Radford_et_al)(final).pdf</w:t>
        </w:r>
      </w:hyperlink>
    </w:p>
  </w:footnote>
  <w:footnote w:id="2">
    <w:p w14:paraId="21CE89AA" w14:textId="2A9F39AD" w:rsidR="00251E2E" w:rsidRPr="00F6063D" w:rsidRDefault="00251E2E" w:rsidP="00BC121A">
      <w:pPr>
        <w:pStyle w:val="Textonotapie"/>
        <w:jc w:val="both"/>
      </w:pPr>
      <w:r w:rsidRPr="00B17AB2">
        <w:rPr>
          <w:rStyle w:val="Refdenotaalpie"/>
          <w:sz w:val="16"/>
          <w:szCs w:val="16"/>
        </w:rPr>
        <w:footnoteRef/>
      </w:r>
      <w:hyperlink r:id="rId2" w:history="1">
        <w:r w:rsidRPr="00B17AB2">
          <w:rPr>
            <w:rStyle w:val="Hipervnculo"/>
            <w:sz w:val="16"/>
            <w:szCs w:val="16"/>
          </w:rPr>
          <w:t>http://www.medicinalegal.gov.co/documents/20143/386932/Forensis+2018.pdf/be4816a4-3da3-1ff0-2779-e7b5e3962d60?version=1.1</w:t>
        </w:r>
      </w:hyperlink>
    </w:p>
  </w:footnote>
  <w:footnote w:id="3">
    <w:p w14:paraId="0B84050B" w14:textId="724A5485" w:rsidR="00251E2E" w:rsidRPr="005627A0" w:rsidRDefault="00251E2E" w:rsidP="00BC121A">
      <w:pPr>
        <w:pStyle w:val="NormalWeb"/>
        <w:jc w:val="both"/>
        <w:rPr>
          <w:rFonts w:ascii="Century Gothic" w:hAnsi="Century Gothic"/>
          <w:sz w:val="16"/>
          <w:szCs w:val="16"/>
        </w:rPr>
      </w:pPr>
      <w:r w:rsidRPr="005627A0">
        <w:rPr>
          <w:rStyle w:val="Refdenotaalpie"/>
          <w:rFonts w:ascii="Century Gothic" w:hAnsi="Century Gothic"/>
          <w:sz w:val="16"/>
          <w:szCs w:val="16"/>
        </w:rPr>
        <w:footnoteRef/>
      </w:r>
      <w:r w:rsidRPr="005627A0">
        <w:rPr>
          <w:rFonts w:ascii="Century Gothic" w:hAnsi="Century Gothic"/>
          <w:sz w:val="16"/>
          <w:szCs w:val="16"/>
        </w:rPr>
        <w:t xml:space="preserve"> </w:t>
      </w:r>
      <w:r w:rsidRPr="005627A0">
        <w:rPr>
          <w:rFonts w:ascii="Century Gothic" w:hAnsi="Century Gothic"/>
          <w:bCs/>
          <w:sz w:val="16"/>
          <w:szCs w:val="16"/>
        </w:rPr>
        <w:t>PINHEIRO, Paulo Sergio.</w:t>
      </w:r>
      <w:r w:rsidRPr="005627A0">
        <w:rPr>
          <w:rFonts w:ascii="Century Gothic" w:hAnsi="Century Gothic"/>
          <w:b/>
          <w:bCs/>
          <w:sz w:val="16"/>
          <w:szCs w:val="16"/>
        </w:rPr>
        <w:t xml:space="preserve"> </w:t>
      </w:r>
      <w:r w:rsidRPr="005627A0">
        <w:rPr>
          <w:rFonts w:ascii="Century Gothic" w:hAnsi="Century Gothic"/>
          <w:sz w:val="16"/>
          <w:szCs w:val="16"/>
        </w:rPr>
        <w:t>Experto Independiente para el Estudio del Secretario General de las Naciones Unidas sobre la Violencia contra los Niños. Informe Mundial sobre la Violencia contra los Niños, Niñas y Adolescentes. UNICEF. En línea: https://www.unicef.org/mexico/spanish/Informe_Mundial_Sobre_Violencia.pdf.</w:t>
      </w:r>
    </w:p>
  </w:footnote>
  <w:footnote w:id="4">
    <w:p w14:paraId="62C23902" w14:textId="77777777" w:rsidR="00251E2E" w:rsidRPr="00F6063D" w:rsidRDefault="00251E2E" w:rsidP="00BC121A">
      <w:pPr>
        <w:pStyle w:val="Textonotapie"/>
        <w:jc w:val="both"/>
      </w:pPr>
      <w:r w:rsidRPr="00F6063D">
        <w:rPr>
          <w:rStyle w:val="Refdenotaalpie"/>
        </w:rPr>
        <w:footnoteRef/>
      </w:r>
      <w:r w:rsidRPr="00F6063D">
        <w:t xml:space="preserve"> Corte Constitucional, Sala Plena, Sentencia C-080 de 15 de agosto 2018, magistrado sustanciador: Antonio José Lizarazo Ocampo, Asunto: Control automático de constitucionalidad del Proyecto de Ley Estatutaria número 08 de 2017 Senado, 016 de 2017 Cámara, “</w:t>
      </w:r>
      <w:r w:rsidRPr="00F6063D">
        <w:rPr>
          <w:i/>
          <w:iCs/>
        </w:rPr>
        <w:t>Estatutaria de la Administración de Justicia en la Jurisdicción Especial para la Paz</w:t>
      </w:r>
      <w:r w:rsidRPr="00F6063D">
        <w:t>”</w:t>
      </w:r>
      <w:r w:rsidRPr="00F6063D">
        <w:rPr>
          <w:i/>
          <w:iCs/>
        </w:rPr>
        <w:t>.</w:t>
      </w:r>
    </w:p>
    <w:p w14:paraId="5011DC8A" w14:textId="77777777" w:rsidR="00251E2E" w:rsidRPr="00F6063D" w:rsidRDefault="00251E2E" w:rsidP="00BC121A">
      <w:pPr>
        <w:pStyle w:val="Textonotapie"/>
        <w:jc w:val="both"/>
      </w:pPr>
    </w:p>
  </w:footnote>
  <w:footnote w:id="5">
    <w:p w14:paraId="584679AA" w14:textId="2572696A" w:rsidR="00251E2E" w:rsidRPr="00F6063D" w:rsidRDefault="00251E2E" w:rsidP="00BC121A">
      <w:pPr>
        <w:pStyle w:val="Textonotapie"/>
        <w:jc w:val="both"/>
      </w:pPr>
      <w:r w:rsidRPr="00F6063D">
        <w:rPr>
          <w:rStyle w:val="Refdenotaalpie"/>
        </w:rPr>
        <w:footnoteRef/>
      </w:r>
      <w:r w:rsidRPr="00F6063D">
        <w:t xml:space="preserve"> Las cifras que se presentan a continuación corresponden a penas aproximadas al pasar la sanciones de meses a años.  </w:t>
      </w:r>
    </w:p>
  </w:footnote>
  <w:footnote w:id="6">
    <w:p w14:paraId="22B65F4D" w14:textId="77777777" w:rsidR="00251E2E" w:rsidRPr="00F6063D" w:rsidRDefault="00251E2E" w:rsidP="00BC121A">
      <w:pPr>
        <w:pStyle w:val="Textonotapie"/>
        <w:jc w:val="both"/>
        <w:rPr>
          <w:b/>
          <w:bCs/>
        </w:rPr>
      </w:pPr>
      <w:r w:rsidRPr="00F6063D">
        <w:rPr>
          <w:rStyle w:val="Refdenotaalpie"/>
        </w:rPr>
        <w:footnoteRef/>
      </w:r>
      <w:r w:rsidRPr="00F6063D">
        <w:t xml:space="preserve"> GONZÁLEZ Amado, Iván. CITA Triana, Ricardo. </w:t>
      </w:r>
      <w:r w:rsidRPr="00F6063D">
        <w:rPr>
          <w:bCs/>
        </w:rPr>
        <w:t>LA PROPORCIONALIDAD DE LAS PENAS EN LA LEGISLACIÓN PENAL COLOMBIANA. Ministerio de Justicia y del Derecho. Bogotá: Grupo Editorial Ibáñez, 2017.</w:t>
      </w:r>
      <w:r w:rsidRPr="00F6063D">
        <w:rPr>
          <w:b/>
          <w:bCs/>
        </w:rPr>
        <w:t xml:space="preserve"> </w:t>
      </w:r>
      <w:r w:rsidRPr="00F6063D">
        <w:rPr>
          <w:bCs/>
        </w:rPr>
        <w:t>p. 284 y ss.</w:t>
      </w:r>
    </w:p>
  </w:footnote>
  <w:footnote w:id="7">
    <w:p w14:paraId="4972E011" w14:textId="77777777" w:rsidR="00251E2E" w:rsidRPr="005627A0" w:rsidRDefault="00251E2E" w:rsidP="00BC121A">
      <w:pPr>
        <w:pStyle w:val="Textonotapie"/>
        <w:jc w:val="both"/>
        <w:rPr>
          <w:rFonts w:ascii="Century Gothic" w:hAnsi="Century Gothic"/>
          <w:sz w:val="16"/>
          <w:szCs w:val="16"/>
        </w:rPr>
      </w:pPr>
      <w:r w:rsidRPr="005627A0">
        <w:rPr>
          <w:rStyle w:val="Refdenotaalpie"/>
          <w:rFonts w:ascii="Century Gothic" w:hAnsi="Century Gothic"/>
          <w:sz w:val="16"/>
          <w:szCs w:val="16"/>
        </w:rPr>
        <w:footnoteRef/>
      </w:r>
      <w:r w:rsidRPr="005627A0">
        <w:rPr>
          <w:rFonts w:ascii="Century Gothic" w:hAnsi="Century Gothic"/>
          <w:sz w:val="16"/>
          <w:szCs w:val="16"/>
        </w:rPr>
        <w:t xml:space="preserve"> Ibídem.</w:t>
      </w:r>
    </w:p>
  </w:footnote>
  <w:footnote w:id="8">
    <w:p w14:paraId="570AD6DF" w14:textId="77777777" w:rsidR="00251E2E" w:rsidRDefault="00251E2E" w:rsidP="00BC121A">
      <w:pPr>
        <w:pStyle w:val="Textonotapie"/>
      </w:pPr>
      <w:r w:rsidRPr="005627A0">
        <w:rPr>
          <w:rStyle w:val="Refdenotaalpie"/>
          <w:rFonts w:ascii="Century Gothic" w:hAnsi="Century Gothic"/>
          <w:sz w:val="16"/>
          <w:szCs w:val="16"/>
        </w:rPr>
        <w:footnoteRef/>
      </w:r>
      <w:r w:rsidRPr="005627A0">
        <w:rPr>
          <w:rFonts w:ascii="Century Gothic" w:hAnsi="Century Gothic"/>
          <w:sz w:val="16"/>
          <w:szCs w:val="16"/>
        </w:rPr>
        <w:t xml:space="preserve"> Ibídem.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E4DB" w14:textId="77777777" w:rsidR="00251E2E" w:rsidRPr="00CE0E97" w:rsidRDefault="00251E2E" w:rsidP="00CE0E97">
    <w:pPr>
      <w:pStyle w:val="Encabezado"/>
      <w:tabs>
        <w:tab w:val="left" w:pos="4252"/>
      </w:tabs>
      <w:rPr>
        <w:lang w:val="es-ES_tradnl"/>
      </w:rPr>
    </w:pPr>
  </w:p>
  <w:p w14:paraId="55B8E675" w14:textId="7EDB7619" w:rsidR="00251E2E" w:rsidRDefault="00251E2E" w:rsidP="00CE0E97">
    <w:pPr>
      <w:pStyle w:val="Encabezado"/>
      <w:tabs>
        <w:tab w:val="clear" w:pos="8504"/>
        <w:tab w:val="left" w:pos="4252"/>
      </w:tabs>
      <w:jc w:val="center"/>
    </w:pPr>
    <w:r>
      <w:rPr>
        <w:noProof/>
        <w:lang w:eastAsia="es-CO"/>
      </w:rPr>
      <w:drawing>
        <wp:inline distT="0" distB="0" distL="0" distR="0" wp14:anchorId="444EA933" wp14:editId="18BDD6C8">
          <wp:extent cx="3190875" cy="638129"/>
          <wp:effectExtent l="0" t="0" r="0" b="0"/>
          <wp:docPr id="3" name="Imagen 3" descr="http://2.bp.blogspot.com/--denv3eMKMA/Uhu2fGNIstI/AAAAAAAAAs8/FOqvEaiVOIw/s1600/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denv3eMKMA/Uhu2fGNIstI/AAAAAAAAAs8/FOqvEaiVOIw/s1600/logo+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7490" cy="685449"/>
                  </a:xfrm>
                  <a:prstGeom prst="rect">
                    <a:avLst/>
                  </a:prstGeom>
                  <a:noFill/>
                  <a:ln>
                    <a:noFill/>
                  </a:ln>
                </pic:spPr>
              </pic:pic>
            </a:graphicData>
          </a:graphic>
        </wp:inline>
      </w:drawing>
    </w:r>
  </w:p>
  <w:p w14:paraId="4E020129" w14:textId="77777777" w:rsidR="00251E2E" w:rsidRPr="008A5BEB" w:rsidRDefault="00251E2E" w:rsidP="00793F85">
    <w:pPr>
      <w:pStyle w:val="Encabezado"/>
      <w:tabs>
        <w:tab w:val="clear" w:pos="8504"/>
        <w:tab w:val="left" w:pos="4252"/>
      </w:tabs>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9A08AE02"/>
    <w:lvl w:ilvl="0">
      <w:start w:val="1"/>
      <w:numFmt w:val="decimal"/>
      <w:pStyle w:val="ImportWordListStyleDefinition416560225"/>
      <w:lvlText w:val="%1."/>
      <w:lvlJc w:val="left"/>
      <w:pPr>
        <w:tabs>
          <w:tab w:val="num" w:pos="0"/>
        </w:tabs>
        <w:ind w:left="0" w:firstLine="0"/>
      </w:pPr>
      <w:rPr>
        <w:position w:val="0"/>
      </w:rPr>
    </w:lvl>
    <w:lvl w:ilvl="1">
      <w:start w:val="1"/>
      <w:numFmt w:val="decimal"/>
      <w:lvlText w:val="%2."/>
      <w:lvlJc w:val="left"/>
      <w:pPr>
        <w:tabs>
          <w:tab w:val="num" w:pos="0"/>
        </w:tabs>
        <w:ind w:left="0" w:firstLine="0"/>
      </w:pPr>
      <w:rPr>
        <w:rFonts w:ascii="Arial" w:eastAsia="Arial Unicode MS" w:hAnsi="Arial" w:cs="Arial"/>
        <w:position w:val="0"/>
      </w:rPr>
    </w:lvl>
    <w:lvl w:ilvl="2">
      <w:start w:val="1"/>
      <w:numFmt w:val="decimal"/>
      <w:lvlText w:val="%3."/>
      <w:lvlJc w:val="left"/>
      <w:pPr>
        <w:tabs>
          <w:tab w:val="num" w:pos="360"/>
        </w:tabs>
        <w:ind w:left="360" w:firstLine="0"/>
      </w:pPr>
      <w:rPr>
        <w:position w:val="0"/>
      </w:rPr>
    </w:lvl>
    <w:lvl w:ilvl="3">
      <w:start w:val="1"/>
      <w:numFmt w:val="decimal"/>
      <w:lvlText w:val="%4."/>
      <w:lvlJc w:val="left"/>
      <w:pPr>
        <w:tabs>
          <w:tab w:val="num" w:pos="720"/>
        </w:tabs>
        <w:ind w:left="720" w:firstLine="0"/>
      </w:pPr>
      <w:rPr>
        <w:position w:val="0"/>
      </w:rPr>
    </w:lvl>
    <w:lvl w:ilvl="4">
      <w:start w:val="1"/>
      <w:numFmt w:val="decimal"/>
      <w:lvlText w:val="%5."/>
      <w:lvlJc w:val="left"/>
      <w:pPr>
        <w:tabs>
          <w:tab w:val="num" w:pos="720"/>
        </w:tabs>
        <w:ind w:left="720" w:firstLine="0"/>
      </w:pPr>
      <w:rPr>
        <w:position w:val="0"/>
      </w:rPr>
    </w:lvl>
    <w:lvl w:ilvl="5">
      <w:start w:val="1"/>
      <w:numFmt w:val="decimal"/>
      <w:lvlText w:val="%6."/>
      <w:lvlJc w:val="left"/>
      <w:pPr>
        <w:tabs>
          <w:tab w:val="num" w:pos="1080"/>
        </w:tabs>
        <w:ind w:left="1080" w:firstLine="0"/>
      </w:pPr>
      <w:rPr>
        <w:position w:val="0"/>
      </w:rPr>
    </w:lvl>
    <w:lvl w:ilvl="6">
      <w:start w:val="1"/>
      <w:numFmt w:val="decimal"/>
      <w:lvlText w:val="%7."/>
      <w:lvlJc w:val="left"/>
      <w:pPr>
        <w:tabs>
          <w:tab w:val="num" w:pos="1080"/>
        </w:tabs>
        <w:ind w:left="1080" w:firstLine="0"/>
      </w:pPr>
      <w:rPr>
        <w:position w:val="0"/>
      </w:rPr>
    </w:lvl>
    <w:lvl w:ilvl="7">
      <w:start w:val="1"/>
      <w:numFmt w:val="decimal"/>
      <w:lvlText w:val="%8."/>
      <w:lvlJc w:val="left"/>
      <w:pPr>
        <w:tabs>
          <w:tab w:val="num" w:pos="1440"/>
        </w:tabs>
        <w:ind w:left="1440" w:firstLine="0"/>
      </w:pPr>
      <w:rPr>
        <w:position w:val="0"/>
      </w:rPr>
    </w:lvl>
    <w:lvl w:ilvl="8">
      <w:start w:val="1"/>
      <w:numFmt w:val="decimal"/>
      <w:lvlText w:val="%9."/>
      <w:lvlJc w:val="left"/>
      <w:pPr>
        <w:tabs>
          <w:tab w:val="num" w:pos="1440"/>
        </w:tabs>
        <w:ind w:left="1440" w:firstLine="0"/>
      </w:pPr>
      <w:rPr>
        <w:position w:val="0"/>
      </w:rPr>
    </w:lvl>
  </w:abstractNum>
  <w:abstractNum w:abstractNumId="1" w15:restartNumberingAfterBreak="0">
    <w:nsid w:val="042D5FB3"/>
    <w:multiLevelType w:val="hybridMultilevel"/>
    <w:tmpl w:val="49221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F56A84"/>
    <w:multiLevelType w:val="hybridMultilevel"/>
    <w:tmpl w:val="B16C09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67614CF"/>
    <w:multiLevelType w:val="hybridMultilevel"/>
    <w:tmpl w:val="06F8B1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BD7684"/>
    <w:multiLevelType w:val="hybridMultilevel"/>
    <w:tmpl w:val="49221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F32794"/>
    <w:multiLevelType w:val="hybridMultilevel"/>
    <w:tmpl w:val="CE484E5A"/>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14D60FC"/>
    <w:multiLevelType w:val="hybridMultilevel"/>
    <w:tmpl w:val="56DE0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E94880"/>
    <w:multiLevelType w:val="hybridMultilevel"/>
    <w:tmpl w:val="AB7C3A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2E76628"/>
    <w:multiLevelType w:val="hybridMultilevel"/>
    <w:tmpl w:val="135ACB6E"/>
    <w:lvl w:ilvl="0" w:tplc="FF0CFB6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C7570A"/>
    <w:multiLevelType w:val="hybridMultilevel"/>
    <w:tmpl w:val="EFC6142A"/>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18482ADB"/>
    <w:multiLevelType w:val="hybridMultilevel"/>
    <w:tmpl w:val="49221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373743"/>
    <w:multiLevelType w:val="hybridMultilevel"/>
    <w:tmpl w:val="4A283CBE"/>
    <w:lvl w:ilvl="0" w:tplc="597A3532">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FE0DD5"/>
    <w:multiLevelType w:val="hybridMultilevel"/>
    <w:tmpl w:val="6B6A4D7A"/>
    <w:lvl w:ilvl="0" w:tplc="CFCAEE92">
      <w:numFmt w:val="bullet"/>
      <w:lvlText w:val="-"/>
      <w:lvlJc w:val="left"/>
      <w:pPr>
        <w:ind w:left="360" w:hanging="360"/>
      </w:pPr>
      <w:rPr>
        <w:rFonts w:ascii="Century Gothic" w:eastAsiaTheme="minorEastAsia" w:hAnsi="Century Gothic" w:cs="Times New Roman" w:hint="default"/>
        <w:b/>
        <w:sz w:val="18"/>
        <w:szCs w:val="18"/>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EE74994"/>
    <w:multiLevelType w:val="hybridMultilevel"/>
    <w:tmpl w:val="CD5845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244DD6"/>
    <w:multiLevelType w:val="hybridMultilevel"/>
    <w:tmpl w:val="A45E3AC4"/>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2340080F"/>
    <w:multiLevelType w:val="hybridMultilevel"/>
    <w:tmpl w:val="53EC0F6A"/>
    <w:lvl w:ilvl="0" w:tplc="3DC8985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6" w15:restartNumberingAfterBreak="0">
    <w:nsid w:val="24453634"/>
    <w:multiLevelType w:val="hybridMultilevel"/>
    <w:tmpl w:val="184EE58C"/>
    <w:lvl w:ilvl="0" w:tplc="0A9A303E">
      <w:start w:val="5"/>
      <w:numFmt w:val="upperRoman"/>
      <w:lvlText w:val="%1."/>
      <w:lvlJc w:val="left"/>
      <w:pPr>
        <w:ind w:left="1440" w:hanging="72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15:restartNumberingAfterBreak="0">
    <w:nsid w:val="25CF3184"/>
    <w:multiLevelType w:val="hybridMultilevel"/>
    <w:tmpl w:val="69CAE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DC179DC"/>
    <w:multiLevelType w:val="hybridMultilevel"/>
    <w:tmpl w:val="5EE4AC7E"/>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2F797121"/>
    <w:multiLevelType w:val="hybridMultilevel"/>
    <w:tmpl w:val="A258735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0" w15:restartNumberingAfterBreak="0">
    <w:nsid w:val="31FB2A49"/>
    <w:multiLevelType w:val="hybridMultilevel"/>
    <w:tmpl w:val="70784A90"/>
    <w:lvl w:ilvl="0" w:tplc="A5A07A7C">
      <w:start w:val="2"/>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7155F7C"/>
    <w:multiLevelType w:val="hybridMultilevel"/>
    <w:tmpl w:val="998E631E"/>
    <w:lvl w:ilvl="0" w:tplc="09D8137E">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A3B1EEA"/>
    <w:multiLevelType w:val="hybridMultilevel"/>
    <w:tmpl w:val="20EC7416"/>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D467149"/>
    <w:multiLevelType w:val="multilevel"/>
    <w:tmpl w:val="8744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C71F7"/>
    <w:multiLevelType w:val="hybridMultilevel"/>
    <w:tmpl w:val="2FE49B5E"/>
    <w:lvl w:ilvl="0" w:tplc="7B26C20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376C3E"/>
    <w:multiLevelType w:val="hybridMultilevel"/>
    <w:tmpl w:val="150EFDD4"/>
    <w:lvl w:ilvl="0" w:tplc="4C083026">
      <w:numFmt w:val="bullet"/>
      <w:lvlText w:val="-"/>
      <w:lvlJc w:val="left"/>
      <w:pPr>
        <w:ind w:left="360" w:hanging="360"/>
      </w:pPr>
      <w:rPr>
        <w:rFonts w:ascii="Century Gothic" w:eastAsiaTheme="minorHAnsi" w:hAnsi="Century Gothic" w:cs="Arial" w:hint="default"/>
        <w:b/>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3F671AE2"/>
    <w:multiLevelType w:val="hybridMultilevel"/>
    <w:tmpl w:val="0D70EDD6"/>
    <w:lvl w:ilvl="0" w:tplc="F25E85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01515BF"/>
    <w:multiLevelType w:val="hybridMultilevel"/>
    <w:tmpl w:val="04FA4288"/>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42A87876"/>
    <w:multiLevelType w:val="hybridMultilevel"/>
    <w:tmpl w:val="B56A1F52"/>
    <w:lvl w:ilvl="0" w:tplc="F39C2778">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439277E0"/>
    <w:multiLevelType w:val="hybridMultilevel"/>
    <w:tmpl w:val="46D02362"/>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4A6B2504"/>
    <w:multiLevelType w:val="multilevel"/>
    <w:tmpl w:val="67743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7A5BFF"/>
    <w:multiLevelType w:val="hybridMultilevel"/>
    <w:tmpl w:val="0AAA9C50"/>
    <w:lvl w:ilvl="0" w:tplc="3E06E4E8">
      <w:numFmt w:val="bullet"/>
      <w:lvlText w:val="-"/>
      <w:lvlJc w:val="left"/>
      <w:pPr>
        <w:ind w:left="360" w:hanging="360"/>
      </w:pPr>
      <w:rPr>
        <w:rFonts w:ascii="Century Gothic" w:eastAsiaTheme="minorHAnsi" w:hAnsi="Century Gothic" w:cs="Arial" w:hint="default"/>
        <w:b/>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4D730538"/>
    <w:multiLevelType w:val="hybridMultilevel"/>
    <w:tmpl w:val="D7C8C1DC"/>
    <w:lvl w:ilvl="0" w:tplc="95ECFDE2">
      <w:start w:val="1"/>
      <w:numFmt w:val="lowerRoman"/>
      <w:lvlText w:val="(%1)"/>
      <w:lvlJc w:val="left"/>
      <w:pPr>
        <w:ind w:left="1080" w:hanging="72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526E1483"/>
    <w:multiLevelType w:val="hybridMultilevel"/>
    <w:tmpl w:val="03C03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9EE5965"/>
    <w:multiLevelType w:val="hybridMultilevel"/>
    <w:tmpl w:val="94483AF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5" w15:restartNumberingAfterBreak="0">
    <w:nsid w:val="5AFF31D2"/>
    <w:multiLevelType w:val="hybridMultilevel"/>
    <w:tmpl w:val="AC6E72F4"/>
    <w:lvl w:ilvl="0" w:tplc="8E76F216">
      <w:start w:val="1"/>
      <w:numFmt w:val="decimal"/>
      <w:lvlText w:val="%1."/>
      <w:lvlJc w:val="left"/>
      <w:pPr>
        <w:ind w:left="1440" w:hanging="720"/>
      </w:pPr>
      <w:rPr>
        <w:rFonts w:ascii="Georgia" w:eastAsiaTheme="minorHAnsi" w:hAnsi="Georgia" w:cs="Times New Roman"/>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6" w15:restartNumberingAfterBreak="0">
    <w:nsid w:val="5CB00DCC"/>
    <w:multiLevelType w:val="hybridMultilevel"/>
    <w:tmpl w:val="06F8B1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5946E7"/>
    <w:multiLevelType w:val="hybridMultilevel"/>
    <w:tmpl w:val="06F8B1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3F16EDE"/>
    <w:multiLevelType w:val="hybridMultilevel"/>
    <w:tmpl w:val="F23EE516"/>
    <w:lvl w:ilvl="0" w:tplc="E3E0C8E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9233410"/>
    <w:multiLevelType w:val="hybridMultilevel"/>
    <w:tmpl w:val="F7CAC3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9F368FC"/>
    <w:multiLevelType w:val="hybridMultilevel"/>
    <w:tmpl w:val="EA92A872"/>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6BC66AA3"/>
    <w:multiLevelType w:val="hybridMultilevel"/>
    <w:tmpl w:val="5C2A16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BE205D3"/>
    <w:multiLevelType w:val="hybridMultilevel"/>
    <w:tmpl w:val="DAD47BB4"/>
    <w:lvl w:ilvl="0" w:tplc="581C90B4">
      <w:numFmt w:val="bullet"/>
      <w:lvlText w:val="-"/>
      <w:lvlJc w:val="left"/>
      <w:pPr>
        <w:ind w:left="360" w:hanging="360"/>
      </w:pPr>
      <w:rPr>
        <w:rFonts w:ascii="Century Gothic" w:eastAsiaTheme="minorHAnsi" w:hAnsi="Century Gothic" w:cs="Arial"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6A439D2"/>
    <w:multiLevelType w:val="hybridMultilevel"/>
    <w:tmpl w:val="CBF63B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A085F66"/>
    <w:multiLevelType w:val="hybridMultilevel"/>
    <w:tmpl w:val="2816531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D045466"/>
    <w:multiLevelType w:val="hybridMultilevel"/>
    <w:tmpl w:val="9864DA34"/>
    <w:lvl w:ilvl="0" w:tplc="E9609AC2">
      <w:start w:val="1"/>
      <w:numFmt w:val="decimal"/>
      <w:lvlText w:val="%1."/>
      <w:lvlJc w:val="left"/>
      <w:pPr>
        <w:ind w:left="1060" w:hanging="7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11"/>
  </w:num>
  <w:num w:numId="3">
    <w:abstractNumId w:val="37"/>
  </w:num>
  <w:num w:numId="4">
    <w:abstractNumId w:val="4"/>
  </w:num>
  <w:num w:numId="5">
    <w:abstractNumId w:val="3"/>
  </w:num>
  <w:num w:numId="6">
    <w:abstractNumId w:val="10"/>
  </w:num>
  <w:num w:numId="7">
    <w:abstractNumId w:val="36"/>
  </w:num>
  <w:num w:numId="8">
    <w:abstractNumId w:val="1"/>
  </w:num>
  <w:num w:numId="9">
    <w:abstractNumId w:val="38"/>
  </w:num>
  <w:num w:numId="10">
    <w:abstractNumId w:val="4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2"/>
  </w:num>
  <w:num w:numId="14">
    <w:abstractNumId w:val="17"/>
  </w:num>
  <w:num w:numId="15">
    <w:abstractNumId w:val="26"/>
  </w:num>
  <w:num w:numId="16">
    <w:abstractNumId w:val="42"/>
  </w:num>
  <w:num w:numId="17">
    <w:abstractNumId w:val="44"/>
  </w:num>
  <w:num w:numId="18">
    <w:abstractNumId w:val="5"/>
  </w:num>
  <w:num w:numId="19">
    <w:abstractNumId w:val="32"/>
  </w:num>
  <w:num w:numId="20">
    <w:abstractNumId w:val="27"/>
  </w:num>
  <w:num w:numId="21">
    <w:abstractNumId w:val="34"/>
  </w:num>
  <w:num w:numId="22">
    <w:abstractNumId w:val="2"/>
  </w:num>
  <w:num w:numId="23">
    <w:abstractNumId w:val="14"/>
  </w:num>
  <w:num w:numId="24">
    <w:abstractNumId w:val="9"/>
  </w:num>
  <w:num w:numId="25">
    <w:abstractNumId w:val="16"/>
  </w:num>
  <w:num w:numId="26">
    <w:abstractNumId w:val="29"/>
  </w:num>
  <w:num w:numId="27">
    <w:abstractNumId w:val="6"/>
  </w:num>
  <w:num w:numId="28">
    <w:abstractNumId w:val="25"/>
  </w:num>
  <w:num w:numId="29">
    <w:abstractNumId w:val="31"/>
  </w:num>
  <w:num w:numId="30">
    <w:abstractNumId w:val="28"/>
  </w:num>
  <w:num w:numId="31">
    <w:abstractNumId w:val="20"/>
  </w:num>
  <w:num w:numId="32">
    <w:abstractNumId w:val="18"/>
  </w:num>
  <w:num w:numId="33">
    <w:abstractNumId w:val="30"/>
  </w:num>
  <w:num w:numId="34">
    <w:abstractNumId w:val="23"/>
  </w:num>
  <w:num w:numId="35">
    <w:abstractNumId w:val="40"/>
  </w:num>
  <w:num w:numId="36">
    <w:abstractNumId w:val="13"/>
  </w:num>
  <w:num w:numId="37">
    <w:abstractNumId w:val="8"/>
  </w:num>
  <w:num w:numId="38">
    <w:abstractNumId w:val="33"/>
  </w:num>
  <w:num w:numId="39">
    <w:abstractNumId w:val="22"/>
  </w:num>
  <w:num w:numId="40">
    <w:abstractNumId w:val="43"/>
  </w:num>
  <w:num w:numId="41">
    <w:abstractNumId w:val="45"/>
  </w:num>
  <w:num w:numId="42">
    <w:abstractNumId w:val="15"/>
  </w:num>
  <w:num w:numId="43">
    <w:abstractNumId w:val="39"/>
  </w:num>
  <w:num w:numId="44">
    <w:abstractNumId w:val="19"/>
  </w:num>
  <w:num w:numId="45">
    <w:abstractNumId w:val="35"/>
  </w:num>
  <w:num w:numId="4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activeWritingStyle w:appName="MSWord" w:lang="pt-BR"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CO"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533"/>
    <w:rsid w:val="000031BA"/>
    <w:rsid w:val="0000360B"/>
    <w:rsid w:val="000037E3"/>
    <w:rsid w:val="000052A5"/>
    <w:rsid w:val="00005F61"/>
    <w:rsid w:val="00010000"/>
    <w:rsid w:val="00011B05"/>
    <w:rsid w:val="000130E0"/>
    <w:rsid w:val="00014050"/>
    <w:rsid w:val="000155FB"/>
    <w:rsid w:val="00020226"/>
    <w:rsid w:val="000230F9"/>
    <w:rsid w:val="000257BF"/>
    <w:rsid w:val="0002724D"/>
    <w:rsid w:val="00033A99"/>
    <w:rsid w:val="00035623"/>
    <w:rsid w:val="000360FD"/>
    <w:rsid w:val="00036B40"/>
    <w:rsid w:val="00043520"/>
    <w:rsid w:val="00044089"/>
    <w:rsid w:val="00044460"/>
    <w:rsid w:val="00044B13"/>
    <w:rsid w:val="00044E51"/>
    <w:rsid w:val="00047CBA"/>
    <w:rsid w:val="00047EDA"/>
    <w:rsid w:val="00050094"/>
    <w:rsid w:val="00050B53"/>
    <w:rsid w:val="00051A49"/>
    <w:rsid w:val="0005390F"/>
    <w:rsid w:val="00054153"/>
    <w:rsid w:val="000544DA"/>
    <w:rsid w:val="00054D68"/>
    <w:rsid w:val="00056D86"/>
    <w:rsid w:val="00067D87"/>
    <w:rsid w:val="000726AD"/>
    <w:rsid w:val="000746C7"/>
    <w:rsid w:val="000748B6"/>
    <w:rsid w:val="0007596A"/>
    <w:rsid w:val="00075B48"/>
    <w:rsid w:val="00075C6B"/>
    <w:rsid w:val="000819DE"/>
    <w:rsid w:val="00085241"/>
    <w:rsid w:val="00086E98"/>
    <w:rsid w:val="0009249B"/>
    <w:rsid w:val="00093ED5"/>
    <w:rsid w:val="00094285"/>
    <w:rsid w:val="00096B2D"/>
    <w:rsid w:val="00096DC4"/>
    <w:rsid w:val="000A0530"/>
    <w:rsid w:val="000A279D"/>
    <w:rsid w:val="000A52D4"/>
    <w:rsid w:val="000A770B"/>
    <w:rsid w:val="000B174F"/>
    <w:rsid w:val="000B312C"/>
    <w:rsid w:val="000B32DF"/>
    <w:rsid w:val="000B3D08"/>
    <w:rsid w:val="000B6617"/>
    <w:rsid w:val="000B67DD"/>
    <w:rsid w:val="000B6A49"/>
    <w:rsid w:val="000C2514"/>
    <w:rsid w:val="000C37FD"/>
    <w:rsid w:val="000C5D74"/>
    <w:rsid w:val="000D240D"/>
    <w:rsid w:val="000D560D"/>
    <w:rsid w:val="000D5D00"/>
    <w:rsid w:val="000D6CFE"/>
    <w:rsid w:val="000D79C3"/>
    <w:rsid w:val="000E0BFF"/>
    <w:rsid w:val="000E3473"/>
    <w:rsid w:val="000E3F8E"/>
    <w:rsid w:val="000E46DB"/>
    <w:rsid w:val="000E5D59"/>
    <w:rsid w:val="000F0113"/>
    <w:rsid w:val="000F4816"/>
    <w:rsid w:val="000F493F"/>
    <w:rsid w:val="00101271"/>
    <w:rsid w:val="00101518"/>
    <w:rsid w:val="00101B48"/>
    <w:rsid w:val="00102760"/>
    <w:rsid w:val="00111255"/>
    <w:rsid w:val="0011346D"/>
    <w:rsid w:val="00116F6E"/>
    <w:rsid w:val="001219FB"/>
    <w:rsid w:val="00124187"/>
    <w:rsid w:val="001251E0"/>
    <w:rsid w:val="0012718C"/>
    <w:rsid w:val="00130489"/>
    <w:rsid w:val="001305EC"/>
    <w:rsid w:val="0013094E"/>
    <w:rsid w:val="00131AB7"/>
    <w:rsid w:val="001325CC"/>
    <w:rsid w:val="00132B08"/>
    <w:rsid w:val="001341EC"/>
    <w:rsid w:val="001358F5"/>
    <w:rsid w:val="00137757"/>
    <w:rsid w:val="00141E7A"/>
    <w:rsid w:val="00147515"/>
    <w:rsid w:val="001518B2"/>
    <w:rsid w:val="00153942"/>
    <w:rsid w:val="00154027"/>
    <w:rsid w:val="0015503A"/>
    <w:rsid w:val="00155E02"/>
    <w:rsid w:val="00156276"/>
    <w:rsid w:val="00160C7E"/>
    <w:rsid w:val="001613A5"/>
    <w:rsid w:val="001621AD"/>
    <w:rsid w:val="001626B2"/>
    <w:rsid w:val="00162F07"/>
    <w:rsid w:val="0016379C"/>
    <w:rsid w:val="001643D6"/>
    <w:rsid w:val="001648FA"/>
    <w:rsid w:val="001658E1"/>
    <w:rsid w:val="0016733D"/>
    <w:rsid w:val="0017109E"/>
    <w:rsid w:val="00172AA3"/>
    <w:rsid w:val="00174C24"/>
    <w:rsid w:val="00174E8C"/>
    <w:rsid w:val="001755EB"/>
    <w:rsid w:val="00180694"/>
    <w:rsid w:val="00180C86"/>
    <w:rsid w:val="00180D81"/>
    <w:rsid w:val="00180D9D"/>
    <w:rsid w:val="001817CF"/>
    <w:rsid w:val="00181B97"/>
    <w:rsid w:val="00181F10"/>
    <w:rsid w:val="00182CAC"/>
    <w:rsid w:val="00182EEA"/>
    <w:rsid w:val="001836ED"/>
    <w:rsid w:val="00186D03"/>
    <w:rsid w:val="0018758B"/>
    <w:rsid w:val="0018770F"/>
    <w:rsid w:val="00187CA3"/>
    <w:rsid w:val="00190185"/>
    <w:rsid w:val="00193832"/>
    <w:rsid w:val="001938FA"/>
    <w:rsid w:val="0019695C"/>
    <w:rsid w:val="00197D80"/>
    <w:rsid w:val="001A14B7"/>
    <w:rsid w:val="001A2F69"/>
    <w:rsid w:val="001A59E9"/>
    <w:rsid w:val="001A67B7"/>
    <w:rsid w:val="001B0EEE"/>
    <w:rsid w:val="001B2698"/>
    <w:rsid w:val="001B285C"/>
    <w:rsid w:val="001B40CC"/>
    <w:rsid w:val="001B5E6B"/>
    <w:rsid w:val="001B70BC"/>
    <w:rsid w:val="001B7423"/>
    <w:rsid w:val="001C031A"/>
    <w:rsid w:val="001C1C76"/>
    <w:rsid w:val="001C3C15"/>
    <w:rsid w:val="001C418B"/>
    <w:rsid w:val="001C4DA5"/>
    <w:rsid w:val="001C5B30"/>
    <w:rsid w:val="001D1CAB"/>
    <w:rsid w:val="001D3A79"/>
    <w:rsid w:val="001D3A85"/>
    <w:rsid w:val="001D3F3E"/>
    <w:rsid w:val="001E257C"/>
    <w:rsid w:val="001E3463"/>
    <w:rsid w:val="001E4F6C"/>
    <w:rsid w:val="001E6081"/>
    <w:rsid w:val="001E6E1A"/>
    <w:rsid w:val="001F067C"/>
    <w:rsid w:val="001F0CFC"/>
    <w:rsid w:val="001F2FA1"/>
    <w:rsid w:val="001F3214"/>
    <w:rsid w:val="001F5BEB"/>
    <w:rsid w:val="001F6E48"/>
    <w:rsid w:val="001F7074"/>
    <w:rsid w:val="001F7524"/>
    <w:rsid w:val="00200D54"/>
    <w:rsid w:val="00202313"/>
    <w:rsid w:val="002128BA"/>
    <w:rsid w:val="00213910"/>
    <w:rsid w:val="00214A3D"/>
    <w:rsid w:val="00214CCB"/>
    <w:rsid w:val="00214DE2"/>
    <w:rsid w:val="00215535"/>
    <w:rsid w:val="0021582F"/>
    <w:rsid w:val="00217E0C"/>
    <w:rsid w:val="002218AB"/>
    <w:rsid w:val="00221AC8"/>
    <w:rsid w:val="0022347F"/>
    <w:rsid w:val="00225386"/>
    <w:rsid w:val="002253B0"/>
    <w:rsid w:val="00227B61"/>
    <w:rsid w:val="00230916"/>
    <w:rsid w:val="00233C0B"/>
    <w:rsid w:val="00237BC6"/>
    <w:rsid w:val="00240337"/>
    <w:rsid w:val="0024047C"/>
    <w:rsid w:val="00240BF4"/>
    <w:rsid w:val="00242409"/>
    <w:rsid w:val="0024242C"/>
    <w:rsid w:val="002429FE"/>
    <w:rsid w:val="002442EA"/>
    <w:rsid w:val="00244393"/>
    <w:rsid w:val="00250BAC"/>
    <w:rsid w:val="00251E2E"/>
    <w:rsid w:val="00252C27"/>
    <w:rsid w:val="00256D0C"/>
    <w:rsid w:val="00263876"/>
    <w:rsid w:val="00266486"/>
    <w:rsid w:val="00266BEA"/>
    <w:rsid w:val="00272FCD"/>
    <w:rsid w:val="00282E86"/>
    <w:rsid w:val="0028686C"/>
    <w:rsid w:val="0028721D"/>
    <w:rsid w:val="00292A9F"/>
    <w:rsid w:val="002954A8"/>
    <w:rsid w:val="0029603E"/>
    <w:rsid w:val="002968BD"/>
    <w:rsid w:val="002A081B"/>
    <w:rsid w:val="002A45C4"/>
    <w:rsid w:val="002A5043"/>
    <w:rsid w:val="002A556B"/>
    <w:rsid w:val="002B18BE"/>
    <w:rsid w:val="002B1A24"/>
    <w:rsid w:val="002B2C47"/>
    <w:rsid w:val="002B3A5C"/>
    <w:rsid w:val="002B3DDE"/>
    <w:rsid w:val="002B3E10"/>
    <w:rsid w:val="002B6872"/>
    <w:rsid w:val="002B6D20"/>
    <w:rsid w:val="002B741A"/>
    <w:rsid w:val="002B774D"/>
    <w:rsid w:val="002C26E9"/>
    <w:rsid w:val="002D468A"/>
    <w:rsid w:val="002D5396"/>
    <w:rsid w:val="002D54DA"/>
    <w:rsid w:val="002D6A1E"/>
    <w:rsid w:val="002D6F59"/>
    <w:rsid w:val="002D7D12"/>
    <w:rsid w:val="002E115C"/>
    <w:rsid w:val="002E11B9"/>
    <w:rsid w:val="002E1EF7"/>
    <w:rsid w:val="002E3912"/>
    <w:rsid w:val="002E4C81"/>
    <w:rsid w:val="002E6420"/>
    <w:rsid w:val="002E6477"/>
    <w:rsid w:val="002F314E"/>
    <w:rsid w:val="002F6042"/>
    <w:rsid w:val="002F7CDB"/>
    <w:rsid w:val="002F7CEA"/>
    <w:rsid w:val="00300A0C"/>
    <w:rsid w:val="00305CF0"/>
    <w:rsid w:val="003061B4"/>
    <w:rsid w:val="00306CE2"/>
    <w:rsid w:val="00313D9B"/>
    <w:rsid w:val="00316F75"/>
    <w:rsid w:val="00322EAA"/>
    <w:rsid w:val="00322F27"/>
    <w:rsid w:val="00323757"/>
    <w:rsid w:val="003237A4"/>
    <w:rsid w:val="00325533"/>
    <w:rsid w:val="00326AC9"/>
    <w:rsid w:val="00331190"/>
    <w:rsid w:val="00332A5D"/>
    <w:rsid w:val="00333CEE"/>
    <w:rsid w:val="00333D3F"/>
    <w:rsid w:val="00335088"/>
    <w:rsid w:val="003363D7"/>
    <w:rsid w:val="003367EA"/>
    <w:rsid w:val="00350CFF"/>
    <w:rsid w:val="00350E7B"/>
    <w:rsid w:val="0035234A"/>
    <w:rsid w:val="00352A5A"/>
    <w:rsid w:val="00352ABE"/>
    <w:rsid w:val="0035348F"/>
    <w:rsid w:val="0035457B"/>
    <w:rsid w:val="003572D7"/>
    <w:rsid w:val="00357F8A"/>
    <w:rsid w:val="003600FA"/>
    <w:rsid w:val="0036318A"/>
    <w:rsid w:val="003641BA"/>
    <w:rsid w:val="00364E59"/>
    <w:rsid w:val="00366180"/>
    <w:rsid w:val="00366D8E"/>
    <w:rsid w:val="003673F8"/>
    <w:rsid w:val="003737EB"/>
    <w:rsid w:val="00373DB3"/>
    <w:rsid w:val="00374B0D"/>
    <w:rsid w:val="00375D8E"/>
    <w:rsid w:val="0037647C"/>
    <w:rsid w:val="00385B23"/>
    <w:rsid w:val="00385F5A"/>
    <w:rsid w:val="003878D4"/>
    <w:rsid w:val="003900FD"/>
    <w:rsid w:val="00390401"/>
    <w:rsid w:val="00391A17"/>
    <w:rsid w:val="00391ED0"/>
    <w:rsid w:val="00393390"/>
    <w:rsid w:val="003938BC"/>
    <w:rsid w:val="00394E3C"/>
    <w:rsid w:val="003952E7"/>
    <w:rsid w:val="00395553"/>
    <w:rsid w:val="00397749"/>
    <w:rsid w:val="003A1979"/>
    <w:rsid w:val="003A19F4"/>
    <w:rsid w:val="003A3986"/>
    <w:rsid w:val="003A4478"/>
    <w:rsid w:val="003A4CAD"/>
    <w:rsid w:val="003A69D3"/>
    <w:rsid w:val="003A7F0D"/>
    <w:rsid w:val="003B0414"/>
    <w:rsid w:val="003B105C"/>
    <w:rsid w:val="003B42EA"/>
    <w:rsid w:val="003B4550"/>
    <w:rsid w:val="003B4949"/>
    <w:rsid w:val="003B499A"/>
    <w:rsid w:val="003B5452"/>
    <w:rsid w:val="003B5D7B"/>
    <w:rsid w:val="003B7156"/>
    <w:rsid w:val="003C0FA9"/>
    <w:rsid w:val="003C18A0"/>
    <w:rsid w:val="003C1B54"/>
    <w:rsid w:val="003C2553"/>
    <w:rsid w:val="003C3000"/>
    <w:rsid w:val="003C3013"/>
    <w:rsid w:val="003C4B50"/>
    <w:rsid w:val="003C7DBC"/>
    <w:rsid w:val="003D0FED"/>
    <w:rsid w:val="003D39F4"/>
    <w:rsid w:val="003D512D"/>
    <w:rsid w:val="003D55A7"/>
    <w:rsid w:val="003E1AC9"/>
    <w:rsid w:val="003E1DAE"/>
    <w:rsid w:val="003E1E82"/>
    <w:rsid w:val="003E2465"/>
    <w:rsid w:val="003E4B05"/>
    <w:rsid w:val="003E5CB6"/>
    <w:rsid w:val="003E5DFF"/>
    <w:rsid w:val="003F0BC4"/>
    <w:rsid w:val="003F618B"/>
    <w:rsid w:val="003F6374"/>
    <w:rsid w:val="0040007D"/>
    <w:rsid w:val="0040065D"/>
    <w:rsid w:val="004015F0"/>
    <w:rsid w:val="00403F3A"/>
    <w:rsid w:val="0040414D"/>
    <w:rsid w:val="00407C99"/>
    <w:rsid w:val="00411552"/>
    <w:rsid w:val="00414BC1"/>
    <w:rsid w:val="00415161"/>
    <w:rsid w:val="0041581B"/>
    <w:rsid w:val="004168BC"/>
    <w:rsid w:val="00420ABB"/>
    <w:rsid w:val="00422FE0"/>
    <w:rsid w:val="004248F7"/>
    <w:rsid w:val="00424D51"/>
    <w:rsid w:val="00425E9C"/>
    <w:rsid w:val="004262B3"/>
    <w:rsid w:val="00432F1C"/>
    <w:rsid w:val="00435869"/>
    <w:rsid w:val="00436671"/>
    <w:rsid w:val="00436C39"/>
    <w:rsid w:val="0043783E"/>
    <w:rsid w:val="00441CDA"/>
    <w:rsid w:val="0044505A"/>
    <w:rsid w:val="004454A1"/>
    <w:rsid w:val="004502FD"/>
    <w:rsid w:val="00451421"/>
    <w:rsid w:val="004548CE"/>
    <w:rsid w:val="00455C09"/>
    <w:rsid w:val="00456F19"/>
    <w:rsid w:val="00460061"/>
    <w:rsid w:val="00461206"/>
    <w:rsid w:val="0046140A"/>
    <w:rsid w:val="00464A6A"/>
    <w:rsid w:val="00475843"/>
    <w:rsid w:val="00476506"/>
    <w:rsid w:val="00481908"/>
    <w:rsid w:val="00482AE7"/>
    <w:rsid w:val="004847C0"/>
    <w:rsid w:val="00484C05"/>
    <w:rsid w:val="00485234"/>
    <w:rsid w:val="00485FB0"/>
    <w:rsid w:val="00486064"/>
    <w:rsid w:val="00486128"/>
    <w:rsid w:val="00494498"/>
    <w:rsid w:val="00494736"/>
    <w:rsid w:val="00495CDD"/>
    <w:rsid w:val="00496256"/>
    <w:rsid w:val="004A0F00"/>
    <w:rsid w:val="004A102B"/>
    <w:rsid w:val="004A235D"/>
    <w:rsid w:val="004B033B"/>
    <w:rsid w:val="004B0F0C"/>
    <w:rsid w:val="004B172B"/>
    <w:rsid w:val="004B1791"/>
    <w:rsid w:val="004B3C92"/>
    <w:rsid w:val="004B5C33"/>
    <w:rsid w:val="004B73FA"/>
    <w:rsid w:val="004C09F5"/>
    <w:rsid w:val="004C34C7"/>
    <w:rsid w:val="004C3BD0"/>
    <w:rsid w:val="004C61A3"/>
    <w:rsid w:val="004C7FDA"/>
    <w:rsid w:val="004D4672"/>
    <w:rsid w:val="004D5015"/>
    <w:rsid w:val="004D555F"/>
    <w:rsid w:val="004D798D"/>
    <w:rsid w:val="004E1E34"/>
    <w:rsid w:val="004E2485"/>
    <w:rsid w:val="004E4C4F"/>
    <w:rsid w:val="004E7283"/>
    <w:rsid w:val="004E7B37"/>
    <w:rsid w:val="004F1B2F"/>
    <w:rsid w:val="004F2233"/>
    <w:rsid w:val="004F3793"/>
    <w:rsid w:val="004F532D"/>
    <w:rsid w:val="004F637C"/>
    <w:rsid w:val="004F6FBA"/>
    <w:rsid w:val="005018BA"/>
    <w:rsid w:val="005032D7"/>
    <w:rsid w:val="00517595"/>
    <w:rsid w:val="0052078C"/>
    <w:rsid w:val="00521558"/>
    <w:rsid w:val="00524740"/>
    <w:rsid w:val="00524884"/>
    <w:rsid w:val="005248EA"/>
    <w:rsid w:val="005271AC"/>
    <w:rsid w:val="00534272"/>
    <w:rsid w:val="00540339"/>
    <w:rsid w:val="00542E7E"/>
    <w:rsid w:val="0054704C"/>
    <w:rsid w:val="005477A6"/>
    <w:rsid w:val="005504A7"/>
    <w:rsid w:val="0055667A"/>
    <w:rsid w:val="005571B9"/>
    <w:rsid w:val="005602F5"/>
    <w:rsid w:val="005627A0"/>
    <w:rsid w:val="00562ADE"/>
    <w:rsid w:val="00562FCB"/>
    <w:rsid w:val="0056345B"/>
    <w:rsid w:val="005663A0"/>
    <w:rsid w:val="00567918"/>
    <w:rsid w:val="00570C08"/>
    <w:rsid w:val="0057284A"/>
    <w:rsid w:val="005740C2"/>
    <w:rsid w:val="00575E5F"/>
    <w:rsid w:val="005761D5"/>
    <w:rsid w:val="00581689"/>
    <w:rsid w:val="00581CF0"/>
    <w:rsid w:val="00583172"/>
    <w:rsid w:val="005832B3"/>
    <w:rsid w:val="005833C5"/>
    <w:rsid w:val="00584DD2"/>
    <w:rsid w:val="005911CF"/>
    <w:rsid w:val="00592032"/>
    <w:rsid w:val="00594196"/>
    <w:rsid w:val="00594C61"/>
    <w:rsid w:val="0059746F"/>
    <w:rsid w:val="00597529"/>
    <w:rsid w:val="00597C5B"/>
    <w:rsid w:val="005A1D21"/>
    <w:rsid w:val="005A24CC"/>
    <w:rsid w:val="005A3D5C"/>
    <w:rsid w:val="005A41D8"/>
    <w:rsid w:val="005A5509"/>
    <w:rsid w:val="005B22F5"/>
    <w:rsid w:val="005B274B"/>
    <w:rsid w:val="005B31FD"/>
    <w:rsid w:val="005B32BE"/>
    <w:rsid w:val="005B42CC"/>
    <w:rsid w:val="005B45A2"/>
    <w:rsid w:val="005B5BC8"/>
    <w:rsid w:val="005C545E"/>
    <w:rsid w:val="005D09A4"/>
    <w:rsid w:val="005D1574"/>
    <w:rsid w:val="005D6AAD"/>
    <w:rsid w:val="005D7C6B"/>
    <w:rsid w:val="005E02D3"/>
    <w:rsid w:val="005E46E5"/>
    <w:rsid w:val="005E72B4"/>
    <w:rsid w:val="005E7606"/>
    <w:rsid w:val="005F2692"/>
    <w:rsid w:val="005F338B"/>
    <w:rsid w:val="005F57F5"/>
    <w:rsid w:val="005F5A28"/>
    <w:rsid w:val="005F5A62"/>
    <w:rsid w:val="00601486"/>
    <w:rsid w:val="00601749"/>
    <w:rsid w:val="00603101"/>
    <w:rsid w:val="0060360D"/>
    <w:rsid w:val="00605408"/>
    <w:rsid w:val="00605DB2"/>
    <w:rsid w:val="00610A8F"/>
    <w:rsid w:val="0061315D"/>
    <w:rsid w:val="006132BE"/>
    <w:rsid w:val="00613ECA"/>
    <w:rsid w:val="006168EE"/>
    <w:rsid w:val="00616C3E"/>
    <w:rsid w:val="00616F22"/>
    <w:rsid w:val="006212F3"/>
    <w:rsid w:val="00621DEA"/>
    <w:rsid w:val="00622502"/>
    <w:rsid w:val="00625B67"/>
    <w:rsid w:val="00627BF0"/>
    <w:rsid w:val="00627D1E"/>
    <w:rsid w:val="00632078"/>
    <w:rsid w:val="00635EBD"/>
    <w:rsid w:val="006375F9"/>
    <w:rsid w:val="00640724"/>
    <w:rsid w:val="00642C12"/>
    <w:rsid w:val="006449D4"/>
    <w:rsid w:val="0065077E"/>
    <w:rsid w:val="006511A1"/>
    <w:rsid w:val="00651E79"/>
    <w:rsid w:val="00653BEA"/>
    <w:rsid w:val="00654A21"/>
    <w:rsid w:val="00654EAD"/>
    <w:rsid w:val="0065533F"/>
    <w:rsid w:val="00657CE7"/>
    <w:rsid w:val="00657D5B"/>
    <w:rsid w:val="00657D65"/>
    <w:rsid w:val="00661ABA"/>
    <w:rsid w:val="00662BB4"/>
    <w:rsid w:val="00663634"/>
    <w:rsid w:val="00663781"/>
    <w:rsid w:val="006722EB"/>
    <w:rsid w:val="00672617"/>
    <w:rsid w:val="006731E4"/>
    <w:rsid w:val="00673567"/>
    <w:rsid w:val="00674224"/>
    <w:rsid w:val="00675E3B"/>
    <w:rsid w:val="00677074"/>
    <w:rsid w:val="00680615"/>
    <w:rsid w:val="00681A9B"/>
    <w:rsid w:val="0068617C"/>
    <w:rsid w:val="00686369"/>
    <w:rsid w:val="00686553"/>
    <w:rsid w:val="00690202"/>
    <w:rsid w:val="00690A25"/>
    <w:rsid w:val="00691783"/>
    <w:rsid w:val="00693D67"/>
    <w:rsid w:val="00693EC1"/>
    <w:rsid w:val="006955EC"/>
    <w:rsid w:val="00695637"/>
    <w:rsid w:val="006961E7"/>
    <w:rsid w:val="006A2727"/>
    <w:rsid w:val="006A3055"/>
    <w:rsid w:val="006A78F8"/>
    <w:rsid w:val="006B1DDE"/>
    <w:rsid w:val="006B2726"/>
    <w:rsid w:val="006B275E"/>
    <w:rsid w:val="006B2A00"/>
    <w:rsid w:val="006B3971"/>
    <w:rsid w:val="006B6386"/>
    <w:rsid w:val="006B7837"/>
    <w:rsid w:val="006C0826"/>
    <w:rsid w:val="006C09C2"/>
    <w:rsid w:val="006C12ED"/>
    <w:rsid w:val="006C2446"/>
    <w:rsid w:val="006C52CF"/>
    <w:rsid w:val="006C540B"/>
    <w:rsid w:val="006C5D60"/>
    <w:rsid w:val="006C6210"/>
    <w:rsid w:val="006D0718"/>
    <w:rsid w:val="006D6794"/>
    <w:rsid w:val="006D7092"/>
    <w:rsid w:val="006E2B4B"/>
    <w:rsid w:val="006E3567"/>
    <w:rsid w:val="006E44B9"/>
    <w:rsid w:val="006E50F4"/>
    <w:rsid w:val="006E5271"/>
    <w:rsid w:val="006E55FB"/>
    <w:rsid w:val="006F0FD7"/>
    <w:rsid w:val="006F293D"/>
    <w:rsid w:val="006F3B7F"/>
    <w:rsid w:val="006F4243"/>
    <w:rsid w:val="006F55C0"/>
    <w:rsid w:val="006F7026"/>
    <w:rsid w:val="00700E23"/>
    <w:rsid w:val="007018FE"/>
    <w:rsid w:val="007057EC"/>
    <w:rsid w:val="0070753F"/>
    <w:rsid w:val="00714008"/>
    <w:rsid w:val="007153E1"/>
    <w:rsid w:val="0071541A"/>
    <w:rsid w:val="0072254A"/>
    <w:rsid w:val="00724286"/>
    <w:rsid w:val="00724685"/>
    <w:rsid w:val="00725C66"/>
    <w:rsid w:val="00731E6B"/>
    <w:rsid w:val="00732002"/>
    <w:rsid w:val="00733C94"/>
    <w:rsid w:val="00733F51"/>
    <w:rsid w:val="007434DB"/>
    <w:rsid w:val="00743731"/>
    <w:rsid w:val="00743981"/>
    <w:rsid w:val="007454B2"/>
    <w:rsid w:val="0074709B"/>
    <w:rsid w:val="007536BB"/>
    <w:rsid w:val="007537B7"/>
    <w:rsid w:val="007558B9"/>
    <w:rsid w:val="00757C27"/>
    <w:rsid w:val="0076029D"/>
    <w:rsid w:val="00763C8C"/>
    <w:rsid w:val="00764048"/>
    <w:rsid w:val="0077009E"/>
    <w:rsid w:val="007726D0"/>
    <w:rsid w:val="00772FCF"/>
    <w:rsid w:val="00773FF6"/>
    <w:rsid w:val="00774324"/>
    <w:rsid w:val="0077453B"/>
    <w:rsid w:val="0077454C"/>
    <w:rsid w:val="00774577"/>
    <w:rsid w:val="00774E95"/>
    <w:rsid w:val="007750B8"/>
    <w:rsid w:val="0077659A"/>
    <w:rsid w:val="00781132"/>
    <w:rsid w:val="0078130E"/>
    <w:rsid w:val="00781D0E"/>
    <w:rsid w:val="007846F6"/>
    <w:rsid w:val="00784E94"/>
    <w:rsid w:val="00785D3A"/>
    <w:rsid w:val="00785F6D"/>
    <w:rsid w:val="00786749"/>
    <w:rsid w:val="00786B07"/>
    <w:rsid w:val="00793F85"/>
    <w:rsid w:val="007A0FE4"/>
    <w:rsid w:val="007A14C6"/>
    <w:rsid w:val="007A21ED"/>
    <w:rsid w:val="007A4CD5"/>
    <w:rsid w:val="007A73D9"/>
    <w:rsid w:val="007B1E19"/>
    <w:rsid w:val="007B1ED2"/>
    <w:rsid w:val="007B362E"/>
    <w:rsid w:val="007B55C5"/>
    <w:rsid w:val="007B75DE"/>
    <w:rsid w:val="007C3816"/>
    <w:rsid w:val="007C4A58"/>
    <w:rsid w:val="007C5976"/>
    <w:rsid w:val="007C6CFE"/>
    <w:rsid w:val="007D2F0F"/>
    <w:rsid w:val="007D5719"/>
    <w:rsid w:val="007D5B64"/>
    <w:rsid w:val="007D6430"/>
    <w:rsid w:val="007D7CB9"/>
    <w:rsid w:val="007E24A8"/>
    <w:rsid w:val="007F15AF"/>
    <w:rsid w:val="007F18B5"/>
    <w:rsid w:val="007F1B9B"/>
    <w:rsid w:val="007F21F5"/>
    <w:rsid w:val="007F37DC"/>
    <w:rsid w:val="007F3A6D"/>
    <w:rsid w:val="007F56A6"/>
    <w:rsid w:val="007F6525"/>
    <w:rsid w:val="007F707A"/>
    <w:rsid w:val="007F7512"/>
    <w:rsid w:val="0080106C"/>
    <w:rsid w:val="00802CD7"/>
    <w:rsid w:val="00803E55"/>
    <w:rsid w:val="00804A0C"/>
    <w:rsid w:val="008073D9"/>
    <w:rsid w:val="00810721"/>
    <w:rsid w:val="00811398"/>
    <w:rsid w:val="00814CB0"/>
    <w:rsid w:val="00816D8C"/>
    <w:rsid w:val="00817F17"/>
    <w:rsid w:val="00820E96"/>
    <w:rsid w:val="00822D57"/>
    <w:rsid w:val="00824925"/>
    <w:rsid w:val="00825041"/>
    <w:rsid w:val="0082569A"/>
    <w:rsid w:val="00825836"/>
    <w:rsid w:val="00827D20"/>
    <w:rsid w:val="008316A6"/>
    <w:rsid w:val="00831DCB"/>
    <w:rsid w:val="00835438"/>
    <w:rsid w:val="00836020"/>
    <w:rsid w:val="008362F7"/>
    <w:rsid w:val="00837A42"/>
    <w:rsid w:val="008441EB"/>
    <w:rsid w:val="00844816"/>
    <w:rsid w:val="00844F0A"/>
    <w:rsid w:val="00847783"/>
    <w:rsid w:val="00850E51"/>
    <w:rsid w:val="00852DCE"/>
    <w:rsid w:val="00856593"/>
    <w:rsid w:val="0086304A"/>
    <w:rsid w:val="008631A8"/>
    <w:rsid w:val="00864DF0"/>
    <w:rsid w:val="0086500A"/>
    <w:rsid w:val="008655E6"/>
    <w:rsid w:val="008706F3"/>
    <w:rsid w:val="00870CD5"/>
    <w:rsid w:val="0087665C"/>
    <w:rsid w:val="008770F4"/>
    <w:rsid w:val="0088126E"/>
    <w:rsid w:val="00881EA8"/>
    <w:rsid w:val="0088238C"/>
    <w:rsid w:val="00886B53"/>
    <w:rsid w:val="00887542"/>
    <w:rsid w:val="008875DE"/>
    <w:rsid w:val="00897651"/>
    <w:rsid w:val="008A1CDB"/>
    <w:rsid w:val="008A56B3"/>
    <w:rsid w:val="008A5A52"/>
    <w:rsid w:val="008A5BEB"/>
    <w:rsid w:val="008A6593"/>
    <w:rsid w:val="008A7B6E"/>
    <w:rsid w:val="008B03F4"/>
    <w:rsid w:val="008B1AAD"/>
    <w:rsid w:val="008B3046"/>
    <w:rsid w:val="008B3817"/>
    <w:rsid w:val="008C095A"/>
    <w:rsid w:val="008C1BBC"/>
    <w:rsid w:val="008C1DDA"/>
    <w:rsid w:val="008C3C6D"/>
    <w:rsid w:val="008C709E"/>
    <w:rsid w:val="008D29D4"/>
    <w:rsid w:val="008D403D"/>
    <w:rsid w:val="008D557F"/>
    <w:rsid w:val="008D5C9A"/>
    <w:rsid w:val="008D7DA7"/>
    <w:rsid w:val="008E2FC0"/>
    <w:rsid w:val="008E649B"/>
    <w:rsid w:val="008E7335"/>
    <w:rsid w:val="008E7C28"/>
    <w:rsid w:val="008F0779"/>
    <w:rsid w:val="008F6461"/>
    <w:rsid w:val="008F6FF2"/>
    <w:rsid w:val="008F708C"/>
    <w:rsid w:val="008F70F0"/>
    <w:rsid w:val="00901E38"/>
    <w:rsid w:val="009035C3"/>
    <w:rsid w:val="009040F4"/>
    <w:rsid w:val="00904201"/>
    <w:rsid w:val="00904BA2"/>
    <w:rsid w:val="00905705"/>
    <w:rsid w:val="00905EDB"/>
    <w:rsid w:val="0090695C"/>
    <w:rsid w:val="00906F8F"/>
    <w:rsid w:val="0091346B"/>
    <w:rsid w:val="009173E3"/>
    <w:rsid w:val="009204AE"/>
    <w:rsid w:val="00920F78"/>
    <w:rsid w:val="00921D3D"/>
    <w:rsid w:val="00933B3A"/>
    <w:rsid w:val="00941884"/>
    <w:rsid w:val="009419A9"/>
    <w:rsid w:val="0095131A"/>
    <w:rsid w:val="00951B9C"/>
    <w:rsid w:val="00952403"/>
    <w:rsid w:val="009526F9"/>
    <w:rsid w:val="00953523"/>
    <w:rsid w:val="00953AEE"/>
    <w:rsid w:val="00954CBC"/>
    <w:rsid w:val="00954EB9"/>
    <w:rsid w:val="00957F47"/>
    <w:rsid w:val="00962476"/>
    <w:rsid w:val="00964F6A"/>
    <w:rsid w:val="009658E9"/>
    <w:rsid w:val="00970A1B"/>
    <w:rsid w:val="00972BD1"/>
    <w:rsid w:val="009800D5"/>
    <w:rsid w:val="00980781"/>
    <w:rsid w:val="00981C75"/>
    <w:rsid w:val="009838AD"/>
    <w:rsid w:val="009918A6"/>
    <w:rsid w:val="009924ED"/>
    <w:rsid w:val="009926EC"/>
    <w:rsid w:val="009938FE"/>
    <w:rsid w:val="00993934"/>
    <w:rsid w:val="00994D49"/>
    <w:rsid w:val="00995C89"/>
    <w:rsid w:val="009962FD"/>
    <w:rsid w:val="009966DE"/>
    <w:rsid w:val="0099682E"/>
    <w:rsid w:val="009A4A7E"/>
    <w:rsid w:val="009A7DB6"/>
    <w:rsid w:val="009B0B93"/>
    <w:rsid w:val="009B2746"/>
    <w:rsid w:val="009C0307"/>
    <w:rsid w:val="009C1873"/>
    <w:rsid w:val="009C5C23"/>
    <w:rsid w:val="009C73B5"/>
    <w:rsid w:val="009C759F"/>
    <w:rsid w:val="009D0DFF"/>
    <w:rsid w:val="009D2F82"/>
    <w:rsid w:val="009E0276"/>
    <w:rsid w:val="009E0961"/>
    <w:rsid w:val="009E1652"/>
    <w:rsid w:val="009E3A37"/>
    <w:rsid w:val="009E3CA4"/>
    <w:rsid w:val="009E4E07"/>
    <w:rsid w:val="009F140A"/>
    <w:rsid w:val="009F1F95"/>
    <w:rsid w:val="009F5DC1"/>
    <w:rsid w:val="00A00CAE"/>
    <w:rsid w:val="00A03B74"/>
    <w:rsid w:val="00A03FFB"/>
    <w:rsid w:val="00A05236"/>
    <w:rsid w:val="00A06CE7"/>
    <w:rsid w:val="00A07871"/>
    <w:rsid w:val="00A10A32"/>
    <w:rsid w:val="00A1319C"/>
    <w:rsid w:val="00A15D32"/>
    <w:rsid w:val="00A1667C"/>
    <w:rsid w:val="00A16881"/>
    <w:rsid w:val="00A21BF6"/>
    <w:rsid w:val="00A22761"/>
    <w:rsid w:val="00A22D21"/>
    <w:rsid w:val="00A23052"/>
    <w:rsid w:val="00A2630D"/>
    <w:rsid w:val="00A3131B"/>
    <w:rsid w:val="00A34414"/>
    <w:rsid w:val="00A35C62"/>
    <w:rsid w:val="00A406BD"/>
    <w:rsid w:val="00A440FF"/>
    <w:rsid w:val="00A44AD8"/>
    <w:rsid w:val="00A45859"/>
    <w:rsid w:val="00A45D71"/>
    <w:rsid w:val="00A4664D"/>
    <w:rsid w:val="00A47241"/>
    <w:rsid w:val="00A4775F"/>
    <w:rsid w:val="00A501DA"/>
    <w:rsid w:val="00A5079A"/>
    <w:rsid w:val="00A524AC"/>
    <w:rsid w:val="00A53E48"/>
    <w:rsid w:val="00A55E10"/>
    <w:rsid w:val="00A55E47"/>
    <w:rsid w:val="00A56323"/>
    <w:rsid w:val="00A5765B"/>
    <w:rsid w:val="00A6025C"/>
    <w:rsid w:val="00A608CA"/>
    <w:rsid w:val="00A62C6B"/>
    <w:rsid w:val="00A64559"/>
    <w:rsid w:val="00A649DE"/>
    <w:rsid w:val="00A65E49"/>
    <w:rsid w:val="00A670EE"/>
    <w:rsid w:val="00A67BA1"/>
    <w:rsid w:val="00A7215D"/>
    <w:rsid w:val="00A75A0A"/>
    <w:rsid w:val="00A763AF"/>
    <w:rsid w:val="00A77E15"/>
    <w:rsid w:val="00A804F0"/>
    <w:rsid w:val="00A81190"/>
    <w:rsid w:val="00A82063"/>
    <w:rsid w:val="00A83F1E"/>
    <w:rsid w:val="00A848E3"/>
    <w:rsid w:val="00A84E95"/>
    <w:rsid w:val="00A87877"/>
    <w:rsid w:val="00A92D6B"/>
    <w:rsid w:val="00A95207"/>
    <w:rsid w:val="00A965ED"/>
    <w:rsid w:val="00AA0374"/>
    <w:rsid w:val="00AA0420"/>
    <w:rsid w:val="00AA31FE"/>
    <w:rsid w:val="00AA5EC0"/>
    <w:rsid w:val="00AA61AF"/>
    <w:rsid w:val="00AB09F9"/>
    <w:rsid w:val="00AC21A4"/>
    <w:rsid w:val="00AC2F3D"/>
    <w:rsid w:val="00AC3A90"/>
    <w:rsid w:val="00AC4059"/>
    <w:rsid w:val="00AC43C3"/>
    <w:rsid w:val="00AC4B04"/>
    <w:rsid w:val="00AC73B1"/>
    <w:rsid w:val="00AC7BBF"/>
    <w:rsid w:val="00AD0976"/>
    <w:rsid w:val="00AD1D12"/>
    <w:rsid w:val="00AD1D20"/>
    <w:rsid w:val="00AD21CE"/>
    <w:rsid w:val="00AD2E0A"/>
    <w:rsid w:val="00AD3112"/>
    <w:rsid w:val="00AD5646"/>
    <w:rsid w:val="00AD5880"/>
    <w:rsid w:val="00AD63A5"/>
    <w:rsid w:val="00AD6AED"/>
    <w:rsid w:val="00AE5933"/>
    <w:rsid w:val="00AE6165"/>
    <w:rsid w:val="00AE619E"/>
    <w:rsid w:val="00AE7104"/>
    <w:rsid w:val="00AF11CF"/>
    <w:rsid w:val="00AF35C1"/>
    <w:rsid w:val="00AF3E34"/>
    <w:rsid w:val="00AF6EBC"/>
    <w:rsid w:val="00B001CD"/>
    <w:rsid w:val="00B05778"/>
    <w:rsid w:val="00B1401D"/>
    <w:rsid w:val="00B162F0"/>
    <w:rsid w:val="00B16F7F"/>
    <w:rsid w:val="00B17AB2"/>
    <w:rsid w:val="00B201EF"/>
    <w:rsid w:val="00B20BCF"/>
    <w:rsid w:val="00B22755"/>
    <w:rsid w:val="00B22EAC"/>
    <w:rsid w:val="00B23958"/>
    <w:rsid w:val="00B23D07"/>
    <w:rsid w:val="00B24E0D"/>
    <w:rsid w:val="00B27550"/>
    <w:rsid w:val="00B315A4"/>
    <w:rsid w:val="00B33166"/>
    <w:rsid w:val="00B3393B"/>
    <w:rsid w:val="00B345F1"/>
    <w:rsid w:val="00B36201"/>
    <w:rsid w:val="00B37DB0"/>
    <w:rsid w:val="00B412CF"/>
    <w:rsid w:val="00B418C8"/>
    <w:rsid w:val="00B42DAE"/>
    <w:rsid w:val="00B46471"/>
    <w:rsid w:val="00B500AE"/>
    <w:rsid w:val="00B535AC"/>
    <w:rsid w:val="00B56819"/>
    <w:rsid w:val="00B56C2B"/>
    <w:rsid w:val="00B618F4"/>
    <w:rsid w:val="00B61CBA"/>
    <w:rsid w:val="00B61E6F"/>
    <w:rsid w:val="00B6292B"/>
    <w:rsid w:val="00B6354E"/>
    <w:rsid w:val="00B635F9"/>
    <w:rsid w:val="00B651B3"/>
    <w:rsid w:val="00B67006"/>
    <w:rsid w:val="00B701F6"/>
    <w:rsid w:val="00B70649"/>
    <w:rsid w:val="00B77F9D"/>
    <w:rsid w:val="00B80CF6"/>
    <w:rsid w:val="00B82878"/>
    <w:rsid w:val="00B83FFB"/>
    <w:rsid w:val="00B85432"/>
    <w:rsid w:val="00B90A27"/>
    <w:rsid w:val="00B92927"/>
    <w:rsid w:val="00B93C64"/>
    <w:rsid w:val="00B95ED9"/>
    <w:rsid w:val="00B96314"/>
    <w:rsid w:val="00B96C6A"/>
    <w:rsid w:val="00BA2053"/>
    <w:rsid w:val="00BA2BCA"/>
    <w:rsid w:val="00BA3B42"/>
    <w:rsid w:val="00BA4976"/>
    <w:rsid w:val="00BA622C"/>
    <w:rsid w:val="00BA6B13"/>
    <w:rsid w:val="00BA717E"/>
    <w:rsid w:val="00BB163C"/>
    <w:rsid w:val="00BB26D6"/>
    <w:rsid w:val="00BB2D41"/>
    <w:rsid w:val="00BB30F7"/>
    <w:rsid w:val="00BB3EF2"/>
    <w:rsid w:val="00BC121A"/>
    <w:rsid w:val="00BC1F84"/>
    <w:rsid w:val="00BC36D8"/>
    <w:rsid w:val="00BC393B"/>
    <w:rsid w:val="00BC4BA0"/>
    <w:rsid w:val="00BC4BD1"/>
    <w:rsid w:val="00BC6464"/>
    <w:rsid w:val="00BD114B"/>
    <w:rsid w:val="00BD1FD4"/>
    <w:rsid w:val="00BD340C"/>
    <w:rsid w:val="00BD4EFB"/>
    <w:rsid w:val="00BD505A"/>
    <w:rsid w:val="00BD5F80"/>
    <w:rsid w:val="00BD6B69"/>
    <w:rsid w:val="00BD750E"/>
    <w:rsid w:val="00BE191C"/>
    <w:rsid w:val="00BE23BB"/>
    <w:rsid w:val="00BE39EA"/>
    <w:rsid w:val="00BE4876"/>
    <w:rsid w:val="00BE5971"/>
    <w:rsid w:val="00BE6EA3"/>
    <w:rsid w:val="00BF19D3"/>
    <w:rsid w:val="00BF19D5"/>
    <w:rsid w:val="00BF2F7B"/>
    <w:rsid w:val="00BF4E4A"/>
    <w:rsid w:val="00BF6668"/>
    <w:rsid w:val="00BF71F7"/>
    <w:rsid w:val="00C00526"/>
    <w:rsid w:val="00C007B1"/>
    <w:rsid w:val="00C00EC0"/>
    <w:rsid w:val="00C029A3"/>
    <w:rsid w:val="00C02D09"/>
    <w:rsid w:val="00C02D18"/>
    <w:rsid w:val="00C032F3"/>
    <w:rsid w:val="00C057D4"/>
    <w:rsid w:val="00C06EEE"/>
    <w:rsid w:val="00C11C2F"/>
    <w:rsid w:val="00C15E41"/>
    <w:rsid w:val="00C15E70"/>
    <w:rsid w:val="00C16F88"/>
    <w:rsid w:val="00C17284"/>
    <w:rsid w:val="00C220DE"/>
    <w:rsid w:val="00C2594B"/>
    <w:rsid w:val="00C31576"/>
    <w:rsid w:val="00C3314B"/>
    <w:rsid w:val="00C3357C"/>
    <w:rsid w:val="00C335A5"/>
    <w:rsid w:val="00C33C6D"/>
    <w:rsid w:val="00C357DB"/>
    <w:rsid w:val="00C35938"/>
    <w:rsid w:val="00C368BE"/>
    <w:rsid w:val="00C43E2C"/>
    <w:rsid w:val="00C44E11"/>
    <w:rsid w:val="00C45A09"/>
    <w:rsid w:val="00C50936"/>
    <w:rsid w:val="00C512C1"/>
    <w:rsid w:val="00C519F2"/>
    <w:rsid w:val="00C5306F"/>
    <w:rsid w:val="00C534FA"/>
    <w:rsid w:val="00C540BF"/>
    <w:rsid w:val="00C669E9"/>
    <w:rsid w:val="00C678C0"/>
    <w:rsid w:val="00C704FE"/>
    <w:rsid w:val="00C70889"/>
    <w:rsid w:val="00C73B7A"/>
    <w:rsid w:val="00C7408A"/>
    <w:rsid w:val="00C74CB3"/>
    <w:rsid w:val="00C77E40"/>
    <w:rsid w:val="00C8311A"/>
    <w:rsid w:val="00C8436A"/>
    <w:rsid w:val="00C848E6"/>
    <w:rsid w:val="00C84DC2"/>
    <w:rsid w:val="00C90913"/>
    <w:rsid w:val="00C90A2C"/>
    <w:rsid w:val="00C90FF3"/>
    <w:rsid w:val="00C91210"/>
    <w:rsid w:val="00C91A1B"/>
    <w:rsid w:val="00C91BEC"/>
    <w:rsid w:val="00C93706"/>
    <w:rsid w:val="00C9413A"/>
    <w:rsid w:val="00C943F1"/>
    <w:rsid w:val="00C94A5C"/>
    <w:rsid w:val="00C961B8"/>
    <w:rsid w:val="00C972B3"/>
    <w:rsid w:val="00CA3A9B"/>
    <w:rsid w:val="00CA70B2"/>
    <w:rsid w:val="00CB1A3F"/>
    <w:rsid w:val="00CB4DC0"/>
    <w:rsid w:val="00CB5CB8"/>
    <w:rsid w:val="00CB6282"/>
    <w:rsid w:val="00CB6C23"/>
    <w:rsid w:val="00CB6F33"/>
    <w:rsid w:val="00CB732D"/>
    <w:rsid w:val="00CC4B24"/>
    <w:rsid w:val="00CC5EC9"/>
    <w:rsid w:val="00CC6328"/>
    <w:rsid w:val="00CC7268"/>
    <w:rsid w:val="00CD52B4"/>
    <w:rsid w:val="00CD5585"/>
    <w:rsid w:val="00CD7684"/>
    <w:rsid w:val="00CE082C"/>
    <w:rsid w:val="00CE0E97"/>
    <w:rsid w:val="00CE0F7D"/>
    <w:rsid w:val="00CE13EC"/>
    <w:rsid w:val="00CE1ECC"/>
    <w:rsid w:val="00CE2076"/>
    <w:rsid w:val="00CE2361"/>
    <w:rsid w:val="00CE24CC"/>
    <w:rsid w:val="00CE2D68"/>
    <w:rsid w:val="00CE5C15"/>
    <w:rsid w:val="00CE667A"/>
    <w:rsid w:val="00CF5294"/>
    <w:rsid w:val="00CF5E27"/>
    <w:rsid w:val="00D031FE"/>
    <w:rsid w:val="00D035A4"/>
    <w:rsid w:val="00D06835"/>
    <w:rsid w:val="00D100A4"/>
    <w:rsid w:val="00D13A89"/>
    <w:rsid w:val="00D1609D"/>
    <w:rsid w:val="00D17343"/>
    <w:rsid w:val="00D175E7"/>
    <w:rsid w:val="00D2052C"/>
    <w:rsid w:val="00D21B33"/>
    <w:rsid w:val="00D26921"/>
    <w:rsid w:val="00D269D2"/>
    <w:rsid w:val="00D26EB4"/>
    <w:rsid w:val="00D30F05"/>
    <w:rsid w:val="00D3161A"/>
    <w:rsid w:val="00D32C3D"/>
    <w:rsid w:val="00D33355"/>
    <w:rsid w:val="00D349F8"/>
    <w:rsid w:val="00D34CC3"/>
    <w:rsid w:val="00D37949"/>
    <w:rsid w:val="00D43E63"/>
    <w:rsid w:val="00D45053"/>
    <w:rsid w:val="00D519FB"/>
    <w:rsid w:val="00D53D12"/>
    <w:rsid w:val="00D55753"/>
    <w:rsid w:val="00D60DA0"/>
    <w:rsid w:val="00D63D13"/>
    <w:rsid w:val="00D63DC2"/>
    <w:rsid w:val="00D63E4C"/>
    <w:rsid w:val="00D64504"/>
    <w:rsid w:val="00D646E4"/>
    <w:rsid w:val="00D66184"/>
    <w:rsid w:val="00D661CA"/>
    <w:rsid w:val="00D66B08"/>
    <w:rsid w:val="00D7181D"/>
    <w:rsid w:val="00D743A6"/>
    <w:rsid w:val="00D766F9"/>
    <w:rsid w:val="00D8418D"/>
    <w:rsid w:val="00D85FF5"/>
    <w:rsid w:val="00D87E5D"/>
    <w:rsid w:val="00D90609"/>
    <w:rsid w:val="00D90DCA"/>
    <w:rsid w:val="00D9163A"/>
    <w:rsid w:val="00D91935"/>
    <w:rsid w:val="00D92461"/>
    <w:rsid w:val="00D9612D"/>
    <w:rsid w:val="00D97949"/>
    <w:rsid w:val="00DA0982"/>
    <w:rsid w:val="00DA0A6E"/>
    <w:rsid w:val="00DA7033"/>
    <w:rsid w:val="00DA7049"/>
    <w:rsid w:val="00DB1096"/>
    <w:rsid w:val="00DB13A3"/>
    <w:rsid w:val="00DB1B48"/>
    <w:rsid w:val="00DB38E1"/>
    <w:rsid w:val="00DB4A16"/>
    <w:rsid w:val="00DB5F7B"/>
    <w:rsid w:val="00DC0116"/>
    <w:rsid w:val="00DC6CB3"/>
    <w:rsid w:val="00DD074B"/>
    <w:rsid w:val="00DD0C24"/>
    <w:rsid w:val="00DD0E33"/>
    <w:rsid w:val="00DD2B0C"/>
    <w:rsid w:val="00DD3A77"/>
    <w:rsid w:val="00DD4048"/>
    <w:rsid w:val="00DD7071"/>
    <w:rsid w:val="00DE047B"/>
    <w:rsid w:val="00DE5E37"/>
    <w:rsid w:val="00DF07A5"/>
    <w:rsid w:val="00DF5E34"/>
    <w:rsid w:val="00DF72F4"/>
    <w:rsid w:val="00DF7448"/>
    <w:rsid w:val="00DF768C"/>
    <w:rsid w:val="00E00C94"/>
    <w:rsid w:val="00E01915"/>
    <w:rsid w:val="00E03BEA"/>
    <w:rsid w:val="00E05F45"/>
    <w:rsid w:val="00E07109"/>
    <w:rsid w:val="00E10671"/>
    <w:rsid w:val="00E16086"/>
    <w:rsid w:val="00E223E0"/>
    <w:rsid w:val="00E22D40"/>
    <w:rsid w:val="00E24AC9"/>
    <w:rsid w:val="00E25656"/>
    <w:rsid w:val="00E30CC0"/>
    <w:rsid w:val="00E31B74"/>
    <w:rsid w:val="00E3352F"/>
    <w:rsid w:val="00E35F75"/>
    <w:rsid w:val="00E452E9"/>
    <w:rsid w:val="00E45356"/>
    <w:rsid w:val="00E55FAB"/>
    <w:rsid w:val="00E60A35"/>
    <w:rsid w:val="00E620DA"/>
    <w:rsid w:val="00E625EC"/>
    <w:rsid w:val="00E62FA5"/>
    <w:rsid w:val="00E661AA"/>
    <w:rsid w:val="00E676ED"/>
    <w:rsid w:val="00E70C75"/>
    <w:rsid w:val="00E775DC"/>
    <w:rsid w:val="00E779A6"/>
    <w:rsid w:val="00E80EC3"/>
    <w:rsid w:val="00E82894"/>
    <w:rsid w:val="00E85E01"/>
    <w:rsid w:val="00E92087"/>
    <w:rsid w:val="00E9379B"/>
    <w:rsid w:val="00E971B5"/>
    <w:rsid w:val="00E97FC8"/>
    <w:rsid w:val="00EA0BBE"/>
    <w:rsid w:val="00EA12FB"/>
    <w:rsid w:val="00EA1ACB"/>
    <w:rsid w:val="00EA5067"/>
    <w:rsid w:val="00EA7B63"/>
    <w:rsid w:val="00EB064F"/>
    <w:rsid w:val="00EB080B"/>
    <w:rsid w:val="00EB088B"/>
    <w:rsid w:val="00EB0DFD"/>
    <w:rsid w:val="00EB330B"/>
    <w:rsid w:val="00EB4696"/>
    <w:rsid w:val="00EB4B67"/>
    <w:rsid w:val="00EB5F70"/>
    <w:rsid w:val="00EB682A"/>
    <w:rsid w:val="00EC1686"/>
    <w:rsid w:val="00EC39EB"/>
    <w:rsid w:val="00EC3F47"/>
    <w:rsid w:val="00EC59D4"/>
    <w:rsid w:val="00ED523C"/>
    <w:rsid w:val="00ED6E3B"/>
    <w:rsid w:val="00EF13F0"/>
    <w:rsid w:val="00EF1BFE"/>
    <w:rsid w:val="00EF1C08"/>
    <w:rsid w:val="00EF21C3"/>
    <w:rsid w:val="00EF343E"/>
    <w:rsid w:val="00EF6017"/>
    <w:rsid w:val="00EF754C"/>
    <w:rsid w:val="00F0076D"/>
    <w:rsid w:val="00F10604"/>
    <w:rsid w:val="00F1321E"/>
    <w:rsid w:val="00F14547"/>
    <w:rsid w:val="00F14C02"/>
    <w:rsid w:val="00F16B66"/>
    <w:rsid w:val="00F17049"/>
    <w:rsid w:val="00F2067B"/>
    <w:rsid w:val="00F253AD"/>
    <w:rsid w:val="00F26665"/>
    <w:rsid w:val="00F27DC5"/>
    <w:rsid w:val="00F31139"/>
    <w:rsid w:val="00F32773"/>
    <w:rsid w:val="00F335E3"/>
    <w:rsid w:val="00F35F4A"/>
    <w:rsid w:val="00F424D8"/>
    <w:rsid w:val="00F43C7C"/>
    <w:rsid w:val="00F4465B"/>
    <w:rsid w:val="00F45B67"/>
    <w:rsid w:val="00F470FE"/>
    <w:rsid w:val="00F50882"/>
    <w:rsid w:val="00F5132A"/>
    <w:rsid w:val="00F56A6D"/>
    <w:rsid w:val="00F57D46"/>
    <w:rsid w:val="00F57EF6"/>
    <w:rsid w:val="00F60C06"/>
    <w:rsid w:val="00F61FAC"/>
    <w:rsid w:val="00F62D6D"/>
    <w:rsid w:val="00F63881"/>
    <w:rsid w:val="00F6639C"/>
    <w:rsid w:val="00F70E2D"/>
    <w:rsid w:val="00F72A54"/>
    <w:rsid w:val="00F74102"/>
    <w:rsid w:val="00F758B8"/>
    <w:rsid w:val="00F76543"/>
    <w:rsid w:val="00F80A3D"/>
    <w:rsid w:val="00F83C7A"/>
    <w:rsid w:val="00F8409C"/>
    <w:rsid w:val="00F85712"/>
    <w:rsid w:val="00F85945"/>
    <w:rsid w:val="00F87EA0"/>
    <w:rsid w:val="00F971F9"/>
    <w:rsid w:val="00FA0F75"/>
    <w:rsid w:val="00FA1866"/>
    <w:rsid w:val="00FA2D75"/>
    <w:rsid w:val="00FA3EED"/>
    <w:rsid w:val="00FA4622"/>
    <w:rsid w:val="00FA63BB"/>
    <w:rsid w:val="00FA65BF"/>
    <w:rsid w:val="00FA74A2"/>
    <w:rsid w:val="00FB2740"/>
    <w:rsid w:val="00FB2CB6"/>
    <w:rsid w:val="00FB7AFF"/>
    <w:rsid w:val="00FC2136"/>
    <w:rsid w:val="00FC2216"/>
    <w:rsid w:val="00FC6568"/>
    <w:rsid w:val="00FC7473"/>
    <w:rsid w:val="00FD0BA5"/>
    <w:rsid w:val="00FD1AAC"/>
    <w:rsid w:val="00FD2DBE"/>
    <w:rsid w:val="00FD4185"/>
    <w:rsid w:val="00FD4FF1"/>
    <w:rsid w:val="00FD574A"/>
    <w:rsid w:val="00FD6E59"/>
    <w:rsid w:val="00FE043D"/>
    <w:rsid w:val="00FE0E38"/>
    <w:rsid w:val="00FE320F"/>
    <w:rsid w:val="00FE3860"/>
    <w:rsid w:val="00FE5DB7"/>
    <w:rsid w:val="00FE6D81"/>
    <w:rsid w:val="00FF54B4"/>
    <w:rsid w:val="00FF562B"/>
    <w:rsid w:val="00FF6D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3BF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47C"/>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99393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993934"/>
    <w:pPr>
      <w:keepNext/>
      <w:spacing w:before="240" w:after="60"/>
      <w:outlineLvl w:val="1"/>
    </w:pPr>
    <w:rPr>
      <w:rFonts w:ascii="Cambria" w:eastAsia="Times New Roman" w:hAnsi="Cambria"/>
      <w:b/>
      <w:bCs/>
      <w:i/>
      <w:iCs/>
      <w:sz w:val="28"/>
      <w:szCs w:val="28"/>
      <w:lang w:val="en-US" w:eastAsia="en-US"/>
    </w:rPr>
  </w:style>
  <w:style w:type="paragraph" w:styleId="Ttulo3">
    <w:name w:val="heading 3"/>
    <w:basedOn w:val="Normal"/>
    <w:next w:val="Normal"/>
    <w:link w:val="Ttulo3Car"/>
    <w:uiPriority w:val="9"/>
    <w:semiHidden/>
    <w:unhideWhenUsed/>
    <w:qFormat/>
    <w:rsid w:val="00993934"/>
    <w:pPr>
      <w:keepNext/>
      <w:spacing w:before="240" w:after="60"/>
      <w:outlineLvl w:val="2"/>
    </w:pPr>
    <w:rPr>
      <w:rFonts w:ascii="Cambria" w:eastAsia="Times New Roman" w:hAnsi="Cambria"/>
      <w:b/>
      <w:bCs/>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5533"/>
    <w:rPr>
      <w:rFonts w:ascii="Tahoma" w:hAnsi="Tahoma" w:cs="Tahoma"/>
      <w:sz w:val="16"/>
      <w:szCs w:val="16"/>
    </w:rPr>
  </w:style>
  <w:style w:type="character" w:customStyle="1" w:styleId="TextodegloboCar">
    <w:name w:val="Texto de globo Car"/>
    <w:basedOn w:val="Fuentedeprrafopredeter"/>
    <w:link w:val="Textodeglobo"/>
    <w:uiPriority w:val="99"/>
    <w:semiHidden/>
    <w:rsid w:val="00325533"/>
    <w:rPr>
      <w:rFonts w:ascii="Tahoma" w:hAnsi="Tahoma" w:cs="Tahoma"/>
      <w:sz w:val="16"/>
      <w:szCs w:val="16"/>
    </w:rPr>
  </w:style>
  <w:style w:type="paragraph" w:styleId="Encabezado">
    <w:name w:val="header"/>
    <w:basedOn w:val="Normal"/>
    <w:link w:val="EncabezadoCar"/>
    <w:uiPriority w:val="99"/>
    <w:unhideWhenUsed/>
    <w:rsid w:val="00325533"/>
    <w:pPr>
      <w:tabs>
        <w:tab w:val="center" w:pos="4252"/>
        <w:tab w:val="right" w:pos="8504"/>
      </w:tabs>
    </w:pPr>
    <w:rPr>
      <w:rFonts w:ascii="Calibri" w:eastAsia="Calibri" w:hAnsi="Calibri"/>
      <w:sz w:val="22"/>
      <w:szCs w:val="22"/>
      <w:lang w:val="es-CO" w:eastAsia="en-US"/>
    </w:rPr>
  </w:style>
  <w:style w:type="character" w:customStyle="1" w:styleId="EncabezadoCar">
    <w:name w:val="Encabezado Car"/>
    <w:basedOn w:val="Fuentedeprrafopredeter"/>
    <w:link w:val="Encabezado"/>
    <w:uiPriority w:val="99"/>
    <w:rsid w:val="00325533"/>
  </w:style>
  <w:style w:type="paragraph" w:styleId="Piedepgina">
    <w:name w:val="footer"/>
    <w:basedOn w:val="Normal"/>
    <w:link w:val="PiedepginaCar"/>
    <w:unhideWhenUsed/>
    <w:rsid w:val="00325533"/>
    <w:pPr>
      <w:tabs>
        <w:tab w:val="center" w:pos="4252"/>
        <w:tab w:val="right" w:pos="8504"/>
      </w:tabs>
    </w:pPr>
    <w:rPr>
      <w:rFonts w:ascii="Calibri" w:eastAsia="Calibri" w:hAnsi="Calibri"/>
      <w:sz w:val="22"/>
      <w:szCs w:val="22"/>
      <w:lang w:val="es-CO" w:eastAsia="en-US"/>
    </w:rPr>
  </w:style>
  <w:style w:type="character" w:customStyle="1" w:styleId="PiedepginaCar">
    <w:name w:val="Pie de página Car"/>
    <w:basedOn w:val="Fuentedeprrafopredeter"/>
    <w:link w:val="Piedepgina"/>
    <w:rsid w:val="00325533"/>
  </w:style>
  <w:style w:type="table" w:styleId="Tablaconcuadrcula">
    <w:name w:val="Table Grid"/>
    <w:basedOn w:val="Tablanormal"/>
    <w:uiPriority w:val="59"/>
    <w:rsid w:val="00597C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456F19"/>
    <w:rPr>
      <w:color w:val="0000FF"/>
      <w:u w:val="single"/>
    </w:rPr>
  </w:style>
  <w:style w:type="paragraph" w:styleId="Sinespaciado">
    <w:name w:val="No Spacing"/>
    <w:link w:val="SinespaciadoCar"/>
    <w:uiPriority w:val="1"/>
    <w:qFormat/>
    <w:rsid w:val="00156276"/>
    <w:pPr>
      <w:spacing w:after="0" w:line="240" w:lineRule="auto"/>
    </w:pPr>
  </w:style>
  <w:style w:type="paragraph" w:styleId="Prrafodelista">
    <w:name w:val="List Paragraph"/>
    <w:aliases w:val="titulo 3"/>
    <w:basedOn w:val="Normal"/>
    <w:link w:val="PrrafodelistaCar"/>
    <w:uiPriority w:val="34"/>
    <w:qFormat/>
    <w:rsid w:val="00332A5D"/>
    <w:pPr>
      <w:spacing w:after="200" w:line="276" w:lineRule="auto"/>
      <w:ind w:left="720"/>
      <w:contextualSpacing/>
    </w:pPr>
    <w:rPr>
      <w:rFonts w:ascii="Calibri" w:eastAsia="Calibri" w:hAnsi="Calibri"/>
      <w:sz w:val="22"/>
      <w:szCs w:val="22"/>
      <w:lang w:val="es-CO" w:eastAsia="en-US"/>
    </w:rPr>
  </w:style>
  <w:style w:type="character" w:customStyle="1" w:styleId="apple-converted-space">
    <w:name w:val="apple-converted-space"/>
    <w:rsid w:val="00332A5D"/>
  </w:style>
  <w:style w:type="numbering" w:customStyle="1" w:styleId="Sinlista1">
    <w:name w:val="Sin lista1"/>
    <w:next w:val="Sinlista"/>
    <w:uiPriority w:val="99"/>
    <w:semiHidden/>
    <w:unhideWhenUsed/>
    <w:rsid w:val="008D29D4"/>
  </w:style>
  <w:style w:type="paragraph" w:styleId="NormalWeb">
    <w:name w:val="Normal (Web)"/>
    <w:basedOn w:val="Normal"/>
    <w:link w:val="NormalWebCar"/>
    <w:uiPriority w:val="99"/>
    <w:unhideWhenUsed/>
    <w:rsid w:val="00970A1B"/>
    <w:pPr>
      <w:spacing w:before="100" w:beforeAutospacing="1" w:after="100" w:afterAutospacing="1"/>
    </w:pPr>
    <w:rPr>
      <w:rFonts w:eastAsia="Times New Roman"/>
      <w:lang w:val="es-CO" w:eastAsia="es-CO"/>
    </w:rPr>
  </w:style>
  <w:style w:type="character" w:styleId="Refdecomentario">
    <w:name w:val="annotation reference"/>
    <w:basedOn w:val="Fuentedeprrafopredeter"/>
    <w:uiPriority w:val="99"/>
    <w:semiHidden/>
    <w:unhideWhenUsed/>
    <w:rsid w:val="00897651"/>
    <w:rPr>
      <w:sz w:val="16"/>
      <w:szCs w:val="16"/>
    </w:rPr>
  </w:style>
  <w:style w:type="paragraph" w:styleId="Textocomentario">
    <w:name w:val="annotation text"/>
    <w:basedOn w:val="Normal"/>
    <w:link w:val="TextocomentarioCar"/>
    <w:uiPriority w:val="99"/>
    <w:semiHidden/>
    <w:unhideWhenUsed/>
    <w:rsid w:val="00897651"/>
    <w:pPr>
      <w:spacing w:before="120"/>
      <w:jc w:val="both"/>
    </w:pPr>
    <w:rPr>
      <w:rFonts w:ascii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897651"/>
    <w:rPr>
      <w:sz w:val="20"/>
      <w:szCs w:val="20"/>
      <w:lang w:val="es-CO"/>
    </w:rPr>
  </w:style>
  <w:style w:type="paragraph" w:customStyle="1" w:styleId="Cuerpo">
    <w:name w:val="Cuerpo"/>
    <w:rsid w:val="0099393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s-ES_tradnl" w:eastAsia="es-CO"/>
    </w:rPr>
  </w:style>
  <w:style w:type="character" w:customStyle="1" w:styleId="Ttulo1Car">
    <w:name w:val="Título 1 Car"/>
    <w:basedOn w:val="Fuentedeprrafopredeter"/>
    <w:link w:val="Ttulo1"/>
    <w:uiPriority w:val="9"/>
    <w:rsid w:val="0099393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993934"/>
    <w:rPr>
      <w:rFonts w:ascii="Cambria" w:eastAsia="Times New Roman" w:hAnsi="Cambria" w:cs="Times New Roman"/>
      <w:b/>
      <w:bCs/>
      <w:i/>
      <w:iCs/>
      <w:sz w:val="28"/>
      <w:szCs w:val="28"/>
      <w:lang w:val="en-US"/>
    </w:rPr>
  </w:style>
  <w:style w:type="character" w:customStyle="1" w:styleId="Ttulo3Car">
    <w:name w:val="Título 3 Car"/>
    <w:basedOn w:val="Fuentedeprrafopredeter"/>
    <w:link w:val="Ttulo3"/>
    <w:uiPriority w:val="9"/>
    <w:semiHidden/>
    <w:rsid w:val="00993934"/>
    <w:rPr>
      <w:rFonts w:ascii="Cambria" w:eastAsia="Times New Roman" w:hAnsi="Cambria" w:cs="Times New Roman"/>
      <w:b/>
      <w:bCs/>
      <w:sz w:val="26"/>
      <w:szCs w:val="26"/>
      <w:lang w:val="en-US"/>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w:basedOn w:val="Normal"/>
    <w:link w:val="TextonotapieCar"/>
    <w:uiPriority w:val="99"/>
    <w:unhideWhenUsed/>
    <w:qFormat/>
    <w:rsid w:val="00993934"/>
    <w:rPr>
      <w:rFonts w:ascii="Calibri" w:eastAsia="Calibri" w:hAnsi="Calibri"/>
      <w:sz w:val="20"/>
      <w:szCs w:val="20"/>
      <w:lang w:val="es-ES"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993934"/>
    <w:rPr>
      <w:rFonts w:ascii="Calibri" w:eastAsia="Calibri" w:hAnsi="Calibri" w:cs="Times New Roman"/>
      <w:sz w:val="20"/>
      <w:szCs w:val="20"/>
    </w:rPr>
  </w:style>
  <w:style w:type="character" w:styleId="Refdenotaalpie">
    <w:name w:val="footnote reference"/>
    <w:aliases w:val="Footnotes refss Char,Texto de nota al pie Char,Appel note de bas de page Char,referencia nota al pie Char,BVI fnr Char,Footnote number Char,f Char,Ref. de nota al pie. Char,Footnote symbol Char,Footnote Char,4_G Char,16 Point Char"/>
    <w:basedOn w:val="Fuentedeprrafopredeter"/>
    <w:link w:val="Footnotesrefss"/>
    <w:uiPriority w:val="99"/>
    <w:unhideWhenUsed/>
    <w:qFormat/>
    <w:rsid w:val="00993934"/>
    <w:rPr>
      <w:vertAlign w:val="superscript"/>
    </w:rPr>
  </w:style>
  <w:style w:type="paragraph" w:styleId="Descripcin">
    <w:name w:val="caption"/>
    <w:basedOn w:val="Normal"/>
    <w:next w:val="Normal"/>
    <w:uiPriority w:val="35"/>
    <w:unhideWhenUsed/>
    <w:qFormat/>
    <w:rsid w:val="00993934"/>
    <w:pPr>
      <w:spacing w:after="200"/>
    </w:pPr>
    <w:rPr>
      <w:rFonts w:ascii="Calibri" w:eastAsia="Calibri" w:hAnsi="Calibri"/>
      <w:i/>
      <w:iCs/>
      <w:color w:val="44546A"/>
      <w:sz w:val="18"/>
      <w:szCs w:val="18"/>
      <w:lang w:val="es-CO" w:eastAsia="en-US"/>
    </w:rPr>
  </w:style>
  <w:style w:type="paragraph" w:customStyle="1" w:styleId="Cuadrculamedia21">
    <w:name w:val="Cuadrícula media 21"/>
    <w:uiPriority w:val="1"/>
    <w:qFormat/>
    <w:rsid w:val="00993934"/>
    <w:pPr>
      <w:spacing w:after="0" w:line="240" w:lineRule="auto"/>
    </w:pPr>
    <w:rPr>
      <w:rFonts w:ascii="Calibri" w:eastAsia="Calibri" w:hAnsi="Calibri" w:cs="Times New Roman"/>
    </w:rPr>
  </w:style>
  <w:style w:type="paragraph" w:customStyle="1" w:styleId="xcuerpo">
    <w:name w:val="x_cuerpo"/>
    <w:basedOn w:val="Normal"/>
    <w:rsid w:val="00993934"/>
    <w:pPr>
      <w:spacing w:before="100" w:beforeAutospacing="1" w:after="100" w:afterAutospacing="1"/>
    </w:pPr>
    <w:rPr>
      <w:rFonts w:eastAsia="Times New Roman"/>
      <w:lang w:val="es-CO" w:eastAsia="es-CO"/>
    </w:rPr>
  </w:style>
  <w:style w:type="paragraph" w:customStyle="1" w:styleId="xmsonormal">
    <w:name w:val="x_msonormal"/>
    <w:basedOn w:val="Normal"/>
    <w:rsid w:val="00993934"/>
    <w:pPr>
      <w:spacing w:before="100" w:beforeAutospacing="1" w:after="100" w:afterAutospacing="1"/>
    </w:pPr>
    <w:rPr>
      <w:rFonts w:eastAsia="Times New Roman"/>
      <w:lang w:val="es-CO" w:eastAsia="es-CO"/>
    </w:rPr>
  </w:style>
  <w:style w:type="paragraph" w:customStyle="1" w:styleId="Body1">
    <w:name w:val="Body 1"/>
    <w:rsid w:val="0065533F"/>
    <w:pPr>
      <w:spacing w:after="0" w:line="240" w:lineRule="auto"/>
      <w:outlineLvl w:val="0"/>
    </w:pPr>
    <w:rPr>
      <w:rFonts w:ascii="Times New Roman" w:eastAsia="Arial Unicode MS" w:hAnsi="Times New Roman" w:cs="Times New Roman"/>
      <w:color w:val="000000"/>
      <w:sz w:val="24"/>
      <w:szCs w:val="20"/>
      <w:u w:color="000000"/>
      <w:lang w:eastAsia="es-ES"/>
    </w:rPr>
  </w:style>
  <w:style w:type="character" w:customStyle="1" w:styleId="PrrafodelistaCar">
    <w:name w:val="Párrafo de lista Car"/>
    <w:aliases w:val="titulo 3 Car"/>
    <w:link w:val="Prrafodelista"/>
    <w:uiPriority w:val="34"/>
    <w:locked/>
    <w:rsid w:val="00695637"/>
    <w:rPr>
      <w:rFonts w:ascii="Calibri" w:eastAsia="Calibri" w:hAnsi="Calibri" w:cs="Times New Roman"/>
      <w:lang w:val="es-CO"/>
    </w:rPr>
  </w:style>
  <w:style w:type="character" w:customStyle="1" w:styleId="baj">
    <w:name w:val="b_aj"/>
    <w:basedOn w:val="Fuentedeprrafopredeter"/>
    <w:rsid w:val="00BF6668"/>
  </w:style>
  <w:style w:type="paragraph" w:styleId="Asuntodelcomentario">
    <w:name w:val="annotation subject"/>
    <w:basedOn w:val="Textocomentario"/>
    <w:next w:val="Textocomentario"/>
    <w:link w:val="AsuntodelcomentarioCar"/>
    <w:uiPriority w:val="99"/>
    <w:semiHidden/>
    <w:unhideWhenUsed/>
    <w:rsid w:val="004502FD"/>
    <w:pPr>
      <w:spacing w:before="0" w:after="200"/>
      <w:jc w:val="left"/>
    </w:pPr>
    <w:rPr>
      <w:rFonts w:ascii="Calibri" w:eastAsia="Calibri" w:hAnsi="Calibri" w:cs="Times New Roman"/>
      <w:b/>
      <w:bCs/>
    </w:rPr>
  </w:style>
  <w:style w:type="character" w:customStyle="1" w:styleId="AsuntodelcomentarioCar">
    <w:name w:val="Asunto del comentario Car"/>
    <w:basedOn w:val="TextocomentarioCar"/>
    <w:link w:val="Asuntodelcomentario"/>
    <w:uiPriority w:val="99"/>
    <w:semiHidden/>
    <w:rsid w:val="004502FD"/>
    <w:rPr>
      <w:rFonts w:ascii="Calibri" w:eastAsia="Calibri" w:hAnsi="Calibri" w:cs="Times New Roman"/>
      <w:b/>
      <w:bCs/>
      <w:sz w:val="20"/>
      <w:szCs w:val="20"/>
      <w:lang w:val="es-CO"/>
    </w:rPr>
  </w:style>
  <w:style w:type="paragraph" w:customStyle="1" w:styleId="parrafo">
    <w:name w:val="parrafo"/>
    <w:basedOn w:val="Normal"/>
    <w:rsid w:val="00174C24"/>
    <w:pPr>
      <w:spacing w:before="100" w:beforeAutospacing="1" w:after="100" w:afterAutospacing="1"/>
    </w:pPr>
  </w:style>
  <w:style w:type="character" w:styleId="Hipervnculovisitado">
    <w:name w:val="FollowedHyperlink"/>
    <w:basedOn w:val="Fuentedeprrafopredeter"/>
    <w:uiPriority w:val="99"/>
    <w:semiHidden/>
    <w:unhideWhenUsed/>
    <w:rsid w:val="00EF13F0"/>
    <w:rPr>
      <w:color w:val="800080" w:themeColor="followedHyperlink"/>
      <w:u w:val="single"/>
    </w:rPr>
  </w:style>
  <w:style w:type="character" w:styleId="nfasis">
    <w:name w:val="Emphasis"/>
    <w:basedOn w:val="Fuentedeprrafopredeter"/>
    <w:uiPriority w:val="20"/>
    <w:qFormat/>
    <w:rsid w:val="00817F17"/>
    <w:rPr>
      <w:i/>
      <w:iCs/>
    </w:rPr>
  </w:style>
  <w:style w:type="character" w:styleId="Textoennegrita">
    <w:name w:val="Strong"/>
    <w:basedOn w:val="Fuentedeprrafopredeter"/>
    <w:uiPriority w:val="22"/>
    <w:qFormat/>
    <w:rsid w:val="00B56C2B"/>
    <w:rPr>
      <w:b/>
      <w:bCs/>
    </w:rPr>
  </w:style>
  <w:style w:type="character" w:customStyle="1" w:styleId="apple-style-span">
    <w:name w:val="apple-style-span"/>
    <w:basedOn w:val="Fuentedeprrafopredeter"/>
    <w:rsid w:val="00793F85"/>
  </w:style>
  <w:style w:type="paragraph" w:styleId="Textonotaalfinal">
    <w:name w:val="endnote text"/>
    <w:basedOn w:val="Normal"/>
    <w:link w:val="TextonotaalfinalCar"/>
    <w:uiPriority w:val="99"/>
    <w:semiHidden/>
    <w:unhideWhenUsed/>
    <w:rsid w:val="00793F85"/>
    <w:rPr>
      <w:sz w:val="20"/>
      <w:szCs w:val="20"/>
      <w:lang w:val="es-ES"/>
    </w:rPr>
  </w:style>
  <w:style w:type="character" w:customStyle="1" w:styleId="TextonotaalfinalCar">
    <w:name w:val="Texto nota al final Car"/>
    <w:basedOn w:val="Fuentedeprrafopredeter"/>
    <w:link w:val="Textonotaalfinal"/>
    <w:uiPriority w:val="99"/>
    <w:semiHidden/>
    <w:rsid w:val="00793F85"/>
    <w:rPr>
      <w:rFonts w:ascii="Times New Roman" w:hAnsi="Times New Roman" w:cs="Times New Roman"/>
      <w:sz w:val="20"/>
      <w:szCs w:val="20"/>
      <w:lang w:eastAsia="es-ES_tradnl"/>
    </w:rPr>
  </w:style>
  <w:style w:type="character" w:styleId="Refdenotaalfinal">
    <w:name w:val="endnote reference"/>
    <w:basedOn w:val="Fuentedeprrafopredeter"/>
    <w:uiPriority w:val="99"/>
    <w:semiHidden/>
    <w:unhideWhenUsed/>
    <w:rsid w:val="00793F85"/>
    <w:rPr>
      <w:vertAlign w:val="superscript"/>
    </w:rPr>
  </w:style>
  <w:style w:type="paragraph" w:customStyle="1" w:styleId="yiv1513105915msolistparagraph">
    <w:name w:val="yiv1513105915msolistparagraph"/>
    <w:basedOn w:val="Normal"/>
    <w:rsid w:val="00793F85"/>
    <w:pPr>
      <w:spacing w:before="100" w:beforeAutospacing="1" w:after="100" w:afterAutospacing="1"/>
    </w:pPr>
    <w:rPr>
      <w:lang w:val="es-ES" w:eastAsia="es-CO"/>
    </w:rPr>
  </w:style>
  <w:style w:type="paragraph" w:customStyle="1" w:styleId="yiv1513105915msonormal">
    <w:name w:val="yiv1513105915msonormal"/>
    <w:basedOn w:val="Normal"/>
    <w:rsid w:val="00793F85"/>
    <w:pPr>
      <w:spacing w:before="100" w:beforeAutospacing="1" w:after="100" w:afterAutospacing="1"/>
    </w:pPr>
    <w:rPr>
      <w:lang w:val="es-ES" w:eastAsia="es-CO"/>
    </w:rPr>
  </w:style>
  <w:style w:type="paragraph" w:customStyle="1" w:styleId="ImportWordListStyleDefinition416560225">
    <w:name w:val="Import Word List Style Definition 416560225"/>
    <w:rsid w:val="00793F85"/>
    <w:pPr>
      <w:numPr>
        <w:numId w:val="11"/>
      </w:numPr>
      <w:spacing w:after="0" w:line="240" w:lineRule="auto"/>
    </w:pPr>
    <w:rPr>
      <w:rFonts w:ascii="Times New Roman" w:eastAsia="Times New Roman" w:hAnsi="Times New Roman" w:cs="Times New Roman"/>
      <w:sz w:val="20"/>
      <w:szCs w:val="20"/>
      <w:lang w:val="es-CO" w:eastAsia="es-CO"/>
    </w:rPr>
  </w:style>
  <w:style w:type="paragraph" w:styleId="Textoindependiente">
    <w:name w:val="Body Text"/>
    <w:basedOn w:val="Normal"/>
    <w:link w:val="TextoindependienteCar"/>
    <w:semiHidden/>
    <w:unhideWhenUsed/>
    <w:rsid w:val="00793F85"/>
    <w:pPr>
      <w:widowControl w:val="0"/>
      <w:suppressAutoHyphens/>
      <w:jc w:val="both"/>
    </w:pPr>
    <w:rPr>
      <w:rFonts w:ascii="Verdana" w:eastAsia="Verdana" w:hAnsi="Verdana"/>
      <w:sz w:val="20"/>
      <w:szCs w:val="20"/>
      <w:lang w:val="es-ES"/>
    </w:rPr>
  </w:style>
  <w:style w:type="character" w:customStyle="1" w:styleId="TextoindependienteCar">
    <w:name w:val="Texto independiente Car"/>
    <w:basedOn w:val="Fuentedeprrafopredeter"/>
    <w:link w:val="Textoindependiente"/>
    <w:semiHidden/>
    <w:rsid w:val="00793F85"/>
    <w:rPr>
      <w:rFonts w:ascii="Verdana" w:eastAsia="Verdana" w:hAnsi="Verdana" w:cs="Times New Roman"/>
      <w:sz w:val="20"/>
      <w:szCs w:val="20"/>
      <w:lang w:eastAsia="es-ES_tradnl"/>
    </w:rPr>
  </w:style>
  <w:style w:type="character" w:customStyle="1" w:styleId="cuerpotexto1">
    <w:name w:val="cuerpo_texto1"/>
    <w:rsid w:val="00793F85"/>
    <w:rPr>
      <w:rFonts w:ascii="Verdana" w:hAnsi="Verdana" w:hint="default"/>
      <w:color w:val="000000"/>
      <w:sz w:val="18"/>
      <w:szCs w:val="18"/>
    </w:rPr>
  </w:style>
  <w:style w:type="paragraph" w:customStyle="1" w:styleId="Default">
    <w:name w:val="Default"/>
    <w:rsid w:val="00793F85"/>
    <w:pPr>
      <w:autoSpaceDE w:val="0"/>
      <w:autoSpaceDN w:val="0"/>
      <w:adjustRightInd w:val="0"/>
      <w:spacing w:after="0" w:line="240" w:lineRule="auto"/>
    </w:pPr>
    <w:rPr>
      <w:rFonts w:ascii="Arial" w:hAnsi="Arial" w:cs="Arial"/>
      <w:color w:val="000000"/>
      <w:sz w:val="24"/>
      <w:szCs w:val="24"/>
      <w:lang w:val="es-CO"/>
    </w:rPr>
  </w:style>
  <w:style w:type="paragraph" w:customStyle="1" w:styleId="Footnotesrefss">
    <w:name w:val="Footnotes refss"/>
    <w:aliases w:val="Texto de nota al pie,Appel note de bas de page,referencia nota al pie,BVI fnr,Footnote number,f,Ref. de nota al pie.,Footnote symbol,Footnote,4_G,16 Point,Superscript 6 Point,Texto nota al pie,Ref. de nota al pi,Ref,f1"/>
    <w:basedOn w:val="Normal"/>
    <w:link w:val="Refdenotaalpie"/>
    <w:uiPriority w:val="99"/>
    <w:rsid w:val="00793F85"/>
    <w:pPr>
      <w:spacing w:before="200" w:after="160" w:line="240" w:lineRule="exact"/>
    </w:pPr>
    <w:rPr>
      <w:rFonts w:asciiTheme="minorHAnsi" w:hAnsiTheme="minorHAnsi" w:cstheme="minorBidi"/>
      <w:sz w:val="22"/>
      <w:szCs w:val="22"/>
      <w:vertAlign w:val="superscript"/>
      <w:lang w:val="es-ES" w:eastAsia="en-US"/>
    </w:rPr>
  </w:style>
  <w:style w:type="paragraph" w:styleId="Lista">
    <w:name w:val="List"/>
    <w:basedOn w:val="Normal"/>
    <w:uiPriority w:val="99"/>
    <w:semiHidden/>
    <w:unhideWhenUsed/>
    <w:rsid w:val="00793F85"/>
    <w:pPr>
      <w:ind w:left="283" w:hanging="283"/>
      <w:contextualSpacing/>
    </w:pPr>
    <w:rPr>
      <w:rFonts w:ascii="Calibri" w:hAnsi="Calibri"/>
      <w:lang w:val="es-ES"/>
    </w:rPr>
  </w:style>
  <w:style w:type="character" w:customStyle="1" w:styleId="SinespaciadoCar">
    <w:name w:val="Sin espaciado Car"/>
    <w:basedOn w:val="Fuentedeprrafopredeter"/>
    <w:link w:val="Sinespaciado"/>
    <w:uiPriority w:val="1"/>
    <w:rsid w:val="00793F85"/>
  </w:style>
  <w:style w:type="character" w:customStyle="1" w:styleId="NormalWebCar">
    <w:name w:val="Normal (Web) Car"/>
    <w:link w:val="NormalWeb"/>
    <w:uiPriority w:val="99"/>
    <w:rsid w:val="00793F85"/>
    <w:rPr>
      <w:rFonts w:ascii="Times New Roman" w:eastAsia="Times New Roman" w:hAnsi="Times New Roman" w:cs="Times New Roman"/>
      <w:sz w:val="24"/>
      <w:szCs w:val="24"/>
      <w:lang w:val="es-CO" w:eastAsia="es-CO"/>
    </w:rPr>
  </w:style>
  <w:style w:type="character" w:customStyle="1" w:styleId="il">
    <w:name w:val="il"/>
    <w:basedOn w:val="Fuentedeprrafopredeter"/>
    <w:rsid w:val="00793F85"/>
  </w:style>
  <w:style w:type="paragraph" w:customStyle="1" w:styleId="s10">
    <w:name w:val="s10"/>
    <w:basedOn w:val="Normal"/>
    <w:rsid w:val="00BC121A"/>
    <w:pPr>
      <w:spacing w:before="100" w:beforeAutospacing="1" w:after="100" w:afterAutospacing="1"/>
    </w:pPr>
    <w:rPr>
      <w:rFonts w:eastAsia="Times New Roman"/>
      <w:lang w:val="es-CO"/>
    </w:rPr>
  </w:style>
  <w:style w:type="character" w:customStyle="1" w:styleId="s11">
    <w:name w:val="s11"/>
    <w:basedOn w:val="Fuentedeprrafopredeter"/>
    <w:rsid w:val="00BC121A"/>
  </w:style>
  <w:style w:type="paragraph" w:customStyle="1" w:styleId="s22">
    <w:name w:val="s22"/>
    <w:basedOn w:val="Normal"/>
    <w:rsid w:val="00BC121A"/>
    <w:pPr>
      <w:spacing w:before="100" w:beforeAutospacing="1" w:after="100" w:afterAutospacing="1"/>
    </w:pPr>
    <w:rPr>
      <w:rFonts w:eastAsia="Times New Roman"/>
      <w:lang w:val="es-CO"/>
    </w:rPr>
  </w:style>
  <w:style w:type="paragraph" w:customStyle="1" w:styleId="Piedepagina">
    <w:name w:val="Pie de pagina"/>
    <w:basedOn w:val="Normal"/>
    <w:rsid w:val="00BC121A"/>
    <w:pPr>
      <w:spacing w:after="160" w:line="240" w:lineRule="exact"/>
    </w:pPr>
    <w:rPr>
      <w:rFonts w:asciiTheme="minorHAnsi" w:hAnsiTheme="minorHAnsi" w:cstheme="minorBidi"/>
      <w:vertAlign w:val="superscript"/>
      <w:lang w:val="es-US" w:eastAsia="en-US"/>
    </w:rPr>
  </w:style>
  <w:style w:type="table" w:styleId="Tabladecuadrcula4-nfasis5">
    <w:name w:val="Grid Table 4 Accent 5"/>
    <w:basedOn w:val="Tablanormal"/>
    <w:uiPriority w:val="49"/>
    <w:rsid w:val="00BC121A"/>
    <w:pPr>
      <w:spacing w:after="0" w:line="240" w:lineRule="auto"/>
    </w:pPr>
    <w:rPr>
      <w:sz w:val="24"/>
      <w:szCs w:val="24"/>
      <w:lang w:val="es-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2593">
      <w:bodyDiv w:val="1"/>
      <w:marLeft w:val="0"/>
      <w:marRight w:val="0"/>
      <w:marTop w:val="0"/>
      <w:marBottom w:val="0"/>
      <w:divBdr>
        <w:top w:val="none" w:sz="0" w:space="0" w:color="auto"/>
        <w:left w:val="none" w:sz="0" w:space="0" w:color="auto"/>
        <w:bottom w:val="none" w:sz="0" w:space="0" w:color="auto"/>
        <w:right w:val="none" w:sz="0" w:space="0" w:color="auto"/>
      </w:divBdr>
    </w:div>
    <w:div w:id="43456219">
      <w:bodyDiv w:val="1"/>
      <w:marLeft w:val="0"/>
      <w:marRight w:val="0"/>
      <w:marTop w:val="0"/>
      <w:marBottom w:val="0"/>
      <w:divBdr>
        <w:top w:val="none" w:sz="0" w:space="0" w:color="auto"/>
        <w:left w:val="none" w:sz="0" w:space="0" w:color="auto"/>
        <w:bottom w:val="none" w:sz="0" w:space="0" w:color="auto"/>
        <w:right w:val="none" w:sz="0" w:space="0" w:color="auto"/>
      </w:divBdr>
    </w:div>
    <w:div w:id="58555725">
      <w:bodyDiv w:val="1"/>
      <w:marLeft w:val="0"/>
      <w:marRight w:val="0"/>
      <w:marTop w:val="0"/>
      <w:marBottom w:val="0"/>
      <w:divBdr>
        <w:top w:val="none" w:sz="0" w:space="0" w:color="auto"/>
        <w:left w:val="none" w:sz="0" w:space="0" w:color="auto"/>
        <w:bottom w:val="none" w:sz="0" w:space="0" w:color="auto"/>
        <w:right w:val="none" w:sz="0" w:space="0" w:color="auto"/>
      </w:divBdr>
    </w:div>
    <w:div w:id="124811533">
      <w:bodyDiv w:val="1"/>
      <w:marLeft w:val="0"/>
      <w:marRight w:val="0"/>
      <w:marTop w:val="0"/>
      <w:marBottom w:val="0"/>
      <w:divBdr>
        <w:top w:val="none" w:sz="0" w:space="0" w:color="auto"/>
        <w:left w:val="none" w:sz="0" w:space="0" w:color="auto"/>
        <w:bottom w:val="none" w:sz="0" w:space="0" w:color="auto"/>
        <w:right w:val="none" w:sz="0" w:space="0" w:color="auto"/>
      </w:divBdr>
    </w:div>
    <w:div w:id="135731890">
      <w:bodyDiv w:val="1"/>
      <w:marLeft w:val="0"/>
      <w:marRight w:val="0"/>
      <w:marTop w:val="0"/>
      <w:marBottom w:val="0"/>
      <w:divBdr>
        <w:top w:val="none" w:sz="0" w:space="0" w:color="auto"/>
        <w:left w:val="none" w:sz="0" w:space="0" w:color="auto"/>
        <w:bottom w:val="none" w:sz="0" w:space="0" w:color="auto"/>
        <w:right w:val="none" w:sz="0" w:space="0" w:color="auto"/>
      </w:divBdr>
    </w:div>
    <w:div w:id="161971442">
      <w:bodyDiv w:val="1"/>
      <w:marLeft w:val="0"/>
      <w:marRight w:val="0"/>
      <w:marTop w:val="0"/>
      <w:marBottom w:val="0"/>
      <w:divBdr>
        <w:top w:val="none" w:sz="0" w:space="0" w:color="auto"/>
        <w:left w:val="none" w:sz="0" w:space="0" w:color="auto"/>
        <w:bottom w:val="none" w:sz="0" w:space="0" w:color="auto"/>
        <w:right w:val="none" w:sz="0" w:space="0" w:color="auto"/>
      </w:divBdr>
    </w:div>
    <w:div w:id="165247487">
      <w:bodyDiv w:val="1"/>
      <w:marLeft w:val="0"/>
      <w:marRight w:val="0"/>
      <w:marTop w:val="0"/>
      <w:marBottom w:val="0"/>
      <w:divBdr>
        <w:top w:val="none" w:sz="0" w:space="0" w:color="auto"/>
        <w:left w:val="none" w:sz="0" w:space="0" w:color="auto"/>
        <w:bottom w:val="none" w:sz="0" w:space="0" w:color="auto"/>
        <w:right w:val="none" w:sz="0" w:space="0" w:color="auto"/>
      </w:divBdr>
    </w:div>
    <w:div w:id="172884172">
      <w:bodyDiv w:val="1"/>
      <w:marLeft w:val="0"/>
      <w:marRight w:val="0"/>
      <w:marTop w:val="0"/>
      <w:marBottom w:val="0"/>
      <w:divBdr>
        <w:top w:val="none" w:sz="0" w:space="0" w:color="auto"/>
        <w:left w:val="none" w:sz="0" w:space="0" w:color="auto"/>
        <w:bottom w:val="none" w:sz="0" w:space="0" w:color="auto"/>
        <w:right w:val="none" w:sz="0" w:space="0" w:color="auto"/>
      </w:divBdr>
    </w:div>
    <w:div w:id="186257284">
      <w:bodyDiv w:val="1"/>
      <w:marLeft w:val="0"/>
      <w:marRight w:val="0"/>
      <w:marTop w:val="0"/>
      <w:marBottom w:val="0"/>
      <w:divBdr>
        <w:top w:val="none" w:sz="0" w:space="0" w:color="auto"/>
        <w:left w:val="none" w:sz="0" w:space="0" w:color="auto"/>
        <w:bottom w:val="none" w:sz="0" w:space="0" w:color="auto"/>
        <w:right w:val="none" w:sz="0" w:space="0" w:color="auto"/>
      </w:divBdr>
    </w:div>
    <w:div w:id="211313985">
      <w:bodyDiv w:val="1"/>
      <w:marLeft w:val="0"/>
      <w:marRight w:val="0"/>
      <w:marTop w:val="0"/>
      <w:marBottom w:val="0"/>
      <w:divBdr>
        <w:top w:val="none" w:sz="0" w:space="0" w:color="auto"/>
        <w:left w:val="none" w:sz="0" w:space="0" w:color="auto"/>
        <w:bottom w:val="none" w:sz="0" w:space="0" w:color="auto"/>
        <w:right w:val="none" w:sz="0" w:space="0" w:color="auto"/>
      </w:divBdr>
    </w:div>
    <w:div w:id="321855194">
      <w:bodyDiv w:val="1"/>
      <w:marLeft w:val="0"/>
      <w:marRight w:val="0"/>
      <w:marTop w:val="0"/>
      <w:marBottom w:val="0"/>
      <w:divBdr>
        <w:top w:val="none" w:sz="0" w:space="0" w:color="auto"/>
        <w:left w:val="none" w:sz="0" w:space="0" w:color="auto"/>
        <w:bottom w:val="none" w:sz="0" w:space="0" w:color="auto"/>
        <w:right w:val="none" w:sz="0" w:space="0" w:color="auto"/>
      </w:divBdr>
    </w:div>
    <w:div w:id="433286119">
      <w:bodyDiv w:val="1"/>
      <w:marLeft w:val="0"/>
      <w:marRight w:val="0"/>
      <w:marTop w:val="0"/>
      <w:marBottom w:val="0"/>
      <w:divBdr>
        <w:top w:val="none" w:sz="0" w:space="0" w:color="auto"/>
        <w:left w:val="none" w:sz="0" w:space="0" w:color="auto"/>
        <w:bottom w:val="none" w:sz="0" w:space="0" w:color="auto"/>
        <w:right w:val="none" w:sz="0" w:space="0" w:color="auto"/>
      </w:divBdr>
    </w:div>
    <w:div w:id="442383570">
      <w:bodyDiv w:val="1"/>
      <w:marLeft w:val="0"/>
      <w:marRight w:val="0"/>
      <w:marTop w:val="0"/>
      <w:marBottom w:val="0"/>
      <w:divBdr>
        <w:top w:val="none" w:sz="0" w:space="0" w:color="auto"/>
        <w:left w:val="none" w:sz="0" w:space="0" w:color="auto"/>
        <w:bottom w:val="none" w:sz="0" w:space="0" w:color="auto"/>
        <w:right w:val="none" w:sz="0" w:space="0" w:color="auto"/>
      </w:divBdr>
    </w:div>
    <w:div w:id="469398646">
      <w:bodyDiv w:val="1"/>
      <w:marLeft w:val="0"/>
      <w:marRight w:val="0"/>
      <w:marTop w:val="0"/>
      <w:marBottom w:val="0"/>
      <w:divBdr>
        <w:top w:val="none" w:sz="0" w:space="0" w:color="auto"/>
        <w:left w:val="none" w:sz="0" w:space="0" w:color="auto"/>
        <w:bottom w:val="none" w:sz="0" w:space="0" w:color="auto"/>
        <w:right w:val="none" w:sz="0" w:space="0" w:color="auto"/>
      </w:divBdr>
    </w:div>
    <w:div w:id="494415982">
      <w:bodyDiv w:val="1"/>
      <w:marLeft w:val="0"/>
      <w:marRight w:val="0"/>
      <w:marTop w:val="0"/>
      <w:marBottom w:val="0"/>
      <w:divBdr>
        <w:top w:val="none" w:sz="0" w:space="0" w:color="auto"/>
        <w:left w:val="none" w:sz="0" w:space="0" w:color="auto"/>
        <w:bottom w:val="none" w:sz="0" w:space="0" w:color="auto"/>
        <w:right w:val="none" w:sz="0" w:space="0" w:color="auto"/>
      </w:divBdr>
    </w:div>
    <w:div w:id="525141989">
      <w:bodyDiv w:val="1"/>
      <w:marLeft w:val="0"/>
      <w:marRight w:val="0"/>
      <w:marTop w:val="0"/>
      <w:marBottom w:val="0"/>
      <w:divBdr>
        <w:top w:val="none" w:sz="0" w:space="0" w:color="auto"/>
        <w:left w:val="none" w:sz="0" w:space="0" w:color="auto"/>
        <w:bottom w:val="none" w:sz="0" w:space="0" w:color="auto"/>
        <w:right w:val="none" w:sz="0" w:space="0" w:color="auto"/>
      </w:divBdr>
    </w:div>
    <w:div w:id="543563588">
      <w:bodyDiv w:val="1"/>
      <w:marLeft w:val="0"/>
      <w:marRight w:val="0"/>
      <w:marTop w:val="0"/>
      <w:marBottom w:val="0"/>
      <w:divBdr>
        <w:top w:val="none" w:sz="0" w:space="0" w:color="auto"/>
        <w:left w:val="none" w:sz="0" w:space="0" w:color="auto"/>
        <w:bottom w:val="none" w:sz="0" w:space="0" w:color="auto"/>
        <w:right w:val="none" w:sz="0" w:space="0" w:color="auto"/>
      </w:divBdr>
    </w:div>
    <w:div w:id="547298746">
      <w:bodyDiv w:val="1"/>
      <w:marLeft w:val="0"/>
      <w:marRight w:val="0"/>
      <w:marTop w:val="0"/>
      <w:marBottom w:val="0"/>
      <w:divBdr>
        <w:top w:val="none" w:sz="0" w:space="0" w:color="auto"/>
        <w:left w:val="none" w:sz="0" w:space="0" w:color="auto"/>
        <w:bottom w:val="none" w:sz="0" w:space="0" w:color="auto"/>
        <w:right w:val="none" w:sz="0" w:space="0" w:color="auto"/>
      </w:divBdr>
    </w:div>
    <w:div w:id="639530854">
      <w:bodyDiv w:val="1"/>
      <w:marLeft w:val="0"/>
      <w:marRight w:val="0"/>
      <w:marTop w:val="0"/>
      <w:marBottom w:val="0"/>
      <w:divBdr>
        <w:top w:val="none" w:sz="0" w:space="0" w:color="auto"/>
        <w:left w:val="none" w:sz="0" w:space="0" w:color="auto"/>
        <w:bottom w:val="none" w:sz="0" w:space="0" w:color="auto"/>
        <w:right w:val="none" w:sz="0" w:space="0" w:color="auto"/>
      </w:divBdr>
    </w:div>
    <w:div w:id="653337395">
      <w:bodyDiv w:val="1"/>
      <w:marLeft w:val="0"/>
      <w:marRight w:val="0"/>
      <w:marTop w:val="0"/>
      <w:marBottom w:val="0"/>
      <w:divBdr>
        <w:top w:val="none" w:sz="0" w:space="0" w:color="auto"/>
        <w:left w:val="none" w:sz="0" w:space="0" w:color="auto"/>
        <w:bottom w:val="none" w:sz="0" w:space="0" w:color="auto"/>
        <w:right w:val="none" w:sz="0" w:space="0" w:color="auto"/>
      </w:divBdr>
    </w:div>
    <w:div w:id="666254263">
      <w:bodyDiv w:val="1"/>
      <w:marLeft w:val="0"/>
      <w:marRight w:val="0"/>
      <w:marTop w:val="0"/>
      <w:marBottom w:val="0"/>
      <w:divBdr>
        <w:top w:val="none" w:sz="0" w:space="0" w:color="auto"/>
        <w:left w:val="none" w:sz="0" w:space="0" w:color="auto"/>
        <w:bottom w:val="none" w:sz="0" w:space="0" w:color="auto"/>
        <w:right w:val="none" w:sz="0" w:space="0" w:color="auto"/>
      </w:divBdr>
    </w:div>
    <w:div w:id="669794329">
      <w:bodyDiv w:val="1"/>
      <w:marLeft w:val="0"/>
      <w:marRight w:val="0"/>
      <w:marTop w:val="0"/>
      <w:marBottom w:val="0"/>
      <w:divBdr>
        <w:top w:val="none" w:sz="0" w:space="0" w:color="auto"/>
        <w:left w:val="none" w:sz="0" w:space="0" w:color="auto"/>
        <w:bottom w:val="none" w:sz="0" w:space="0" w:color="auto"/>
        <w:right w:val="none" w:sz="0" w:space="0" w:color="auto"/>
      </w:divBdr>
    </w:div>
    <w:div w:id="679627962">
      <w:bodyDiv w:val="1"/>
      <w:marLeft w:val="0"/>
      <w:marRight w:val="0"/>
      <w:marTop w:val="0"/>
      <w:marBottom w:val="0"/>
      <w:divBdr>
        <w:top w:val="none" w:sz="0" w:space="0" w:color="auto"/>
        <w:left w:val="none" w:sz="0" w:space="0" w:color="auto"/>
        <w:bottom w:val="none" w:sz="0" w:space="0" w:color="auto"/>
        <w:right w:val="none" w:sz="0" w:space="0" w:color="auto"/>
      </w:divBdr>
    </w:div>
    <w:div w:id="764419709">
      <w:bodyDiv w:val="1"/>
      <w:marLeft w:val="0"/>
      <w:marRight w:val="0"/>
      <w:marTop w:val="0"/>
      <w:marBottom w:val="0"/>
      <w:divBdr>
        <w:top w:val="none" w:sz="0" w:space="0" w:color="auto"/>
        <w:left w:val="none" w:sz="0" w:space="0" w:color="auto"/>
        <w:bottom w:val="none" w:sz="0" w:space="0" w:color="auto"/>
        <w:right w:val="none" w:sz="0" w:space="0" w:color="auto"/>
      </w:divBdr>
    </w:div>
    <w:div w:id="900408496">
      <w:bodyDiv w:val="1"/>
      <w:marLeft w:val="0"/>
      <w:marRight w:val="0"/>
      <w:marTop w:val="0"/>
      <w:marBottom w:val="0"/>
      <w:divBdr>
        <w:top w:val="none" w:sz="0" w:space="0" w:color="auto"/>
        <w:left w:val="none" w:sz="0" w:space="0" w:color="auto"/>
        <w:bottom w:val="none" w:sz="0" w:space="0" w:color="auto"/>
        <w:right w:val="none" w:sz="0" w:space="0" w:color="auto"/>
      </w:divBdr>
    </w:div>
    <w:div w:id="944537371">
      <w:bodyDiv w:val="1"/>
      <w:marLeft w:val="0"/>
      <w:marRight w:val="0"/>
      <w:marTop w:val="0"/>
      <w:marBottom w:val="0"/>
      <w:divBdr>
        <w:top w:val="none" w:sz="0" w:space="0" w:color="auto"/>
        <w:left w:val="none" w:sz="0" w:space="0" w:color="auto"/>
        <w:bottom w:val="none" w:sz="0" w:space="0" w:color="auto"/>
        <w:right w:val="none" w:sz="0" w:space="0" w:color="auto"/>
      </w:divBdr>
    </w:div>
    <w:div w:id="1112435617">
      <w:bodyDiv w:val="1"/>
      <w:marLeft w:val="0"/>
      <w:marRight w:val="0"/>
      <w:marTop w:val="0"/>
      <w:marBottom w:val="0"/>
      <w:divBdr>
        <w:top w:val="none" w:sz="0" w:space="0" w:color="auto"/>
        <w:left w:val="none" w:sz="0" w:space="0" w:color="auto"/>
        <w:bottom w:val="none" w:sz="0" w:space="0" w:color="auto"/>
        <w:right w:val="none" w:sz="0" w:space="0" w:color="auto"/>
      </w:divBdr>
    </w:div>
    <w:div w:id="1186408066">
      <w:bodyDiv w:val="1"/>
      <w:marLeft w:val="0"/>
      <w:marRight w:val="0"/>
      <w:marTop w:val="0"/>
      <w:marBottom w:val="0"/>
      <w:divBdr>
        <w:top w:val="none" w:sz="0" w:space="0" w:color="auto"/>
        <w:left w:val="none" w:sz="0" w:space="0" w:color="auto"/>
        <w:bottom w:val="none" w:sz="0" w:space="0" w:color="auto"/>
        <w:right w:val="none" w:sz="0" w:space="0" w:color="auto"/>
      </w:divBdr>
    </w:div>
    <w:div w:id="1225681077">
      <w:bodyDiv w:val="1"/>
      <w:marLeft w:val="0"/>
      <w:marRight w:val="0"/>
      <w:marTop w:val="0"/>
      <w:marBottom w:val="0"/>
      <w:divBdr>
        <w:top w:val="none" w:sz="0" w:space="0" w:color="auto"/>
        <w:left w:val="none" w:sz="0" w:space="0" w:color="auto"/>
        <w:bottom w:val="none" w:sz="0" w:space="0" w:color="auto"/>
        <w:right w:val="none" w:sz="0" w:space="0" w:color="auto"/>
      </w:divBdr>
    </w:div>
    <w:div w:id="1240670642">
      <w:bodyDiv w:val="1"/>
      <w:marLeft w:val="0"/>
      <w:marRight w:val="0"/>
      <w:marTop w:val="0"/>
      <w:marBottom w:val="0"/>
      <w:divBdr>
        <w:top w:val="none" w:sz="0" w:space="0" w:color="auto"/>
        <w:left w:val="none" w:sz="0" w:space="0" w:color="auto"/>
        <w:bottom w:val="none" w:sz="0" w:space="0" w:color="auto"/>
        <w:right w:val="none" w:sz="0" w:space="0" w:color="auto"/>
      </w:divBdr>
    </w:div>
    <w:div w:id="1260066566">
      <w:bodyDiv w:val="1"/>
      <w:marLeft w:val="0"/>
      <w:marRight w:val="0"/>
      <w:marTop w:val="0"/>
      <w:marBottom w:val="0"/>
      <w:divBdr>
        <w:top w:val="none" w:sz="0" w:space="0" w:color="auto"/>
        <w:left w:val="none" w:sz="0" w:space="0" w:color="auto"/>
        <w:bottom w:val="none" w:sz="0" w:space="0" w:color="auto"/>
        <w:right w:val="none" w:sz="0" w:space="0" w:color="auto"/>
      </w:divBdr>
    </w:div>
    <w:div w:id="1261529531">
      <w:bodyDiv w:val="1"/>
      <w:marLeft w:val="0"/>
      <w:marRight w:val="0"/>
      <w:marTop w:val="0"/>
      <w:marBottom w:val="0"/>
      <w:divBdr>
        <w:top w:val="none" w:sz="0" w:space="0" w:color="auto"/>
        <w:left w:val="none" w:sz="0" w:space="0" w:color="auto"/>
        <w:bottom w:val="none" w:sz="0" w:space="0" w:color="auto"/>
        <w:right w:val="none" w:sz="0" w:space="0" w:color="auto"/>
      </w:divBdr>
    </w:div>
    <w:div w:id="1270551665">
      <w:bodyDiv w:val="1"/>
      <w:marLeft w:val="0"/>
      <w:marRight w:val="0"/>
      <w:marTop w:val="0"/>
      <w:marBottom w:val="0"/>
      <w:divBdr>
        <w:top w:val="none" w:sz="0" w:space="0" w:color="auto"/>
        <w:left w:val="none" w:sz="0" w:space="0" w:color="auto"/>
        <w:bottom w:val="none" w:sz="0" w:space="0" w:color="auto"/>
        <w:right w:val="none" w:sz="0" w:space="0" w:color="auto"/>
      </w:divBdr>
    </w:div>
    <w:div w:id="1284192805">
      <w:bodyDiv w:val="1"/>
      <w:marLeft w:val="0"/>
      <w:marRight w:val="0"/>
      <w:marTop w:val="0"/>
      <w:marBottom w:val="0"/>
      <w:divBdr>
        <w:top w:val="none" w:sz="0" w:space="0" w:color="auto"/>
        <w:left w:val="none" w:sz="0" w:space="0" w:color="auto"/>
        <w:bottom w:val="none" w:sz="0" w:space="0" w:color="auto"/>
        <w:right w:val="none" w:sz="0" w:space="0" w:color="auto"/>
      </w:divBdr>
    </w:div>
    <w:div w:id="1329408655">
      <w:bodyDiv w:val="1"/>
      <w:marLeft w:val="0"/>
      <w:marRight w:val="0"/>
      <w:marTop w:val="0"/>
      <w:marBottom w:val="0"/>
      <w:divBdr>
        <w:top w:val="none" w:sz="0" w:space="0" w:color="auto"/>
        <w:left w:val="none" w:sz="0" w:space="0" w:color="auto"/>
        <w:bottom w:val="none" w:sz="0" w:space="0" w:color="auto"/>
        <w:right w:val="none" w:sz="0" w:space="0" w:color="auto"/>
      </w:divBdr>
    </w:div>
    <w:div w:id="1353729355">
      <w:bodyDiv w:val="1"/>
      <w:marLeft w:val="0"/>
      <w:marRight w:val="0"/>
      <w:marTop w:val="0"/>
      <w:marBottom w:val="0"/>
      <w:divBdr>
        <w:top w:val="none" w:sz="0" w:space="0" w:color="auto"/>
        <w:left w:val="none" w:sz="0" w:space="0" w:color="auto"/>
        <w:bottom w:val="none" w:sz="0" w:space="0" w:color="auto"/>
        <w:right w:val="none" w:sz="0" w:space="0" w:color="auto"/>
      </w:divBdr>
    </w:div>
    <w:div w:id="1418864370">
      <w:bodyDiv w:val="1"/>
      <w:marLeft w:val="0"/>
      <w:marRight w:val="0"/>
      <w:marTop w:val="0"/>
      <w:marBottom w:val="0"/>
      <w:divBdr>
        <w:top w:val="none" w:sz="0" w:space="0" w:color="auto"/>
        <w:left w:val="none" w:sz="0" w:space="0" w:color="auto"/>
        <w:bottom w:val="none" w:sz="0" w:space="0" w:color="auto"/>
        <w:right w:val="none" w:sz="0" w:space="0" w:color="auto"/>
      </w:divBdr>
      <w:divsChild>
        <w:div w:id="1206408193">
          <w:marLeft w:val="720"/>
          <w:marRight w:val="0"/>
          <w:marTop w:val="0"/>
          <w:marBottom w:val="0"/>
          <w:divBdr>
            <w:top w:val="none" w:sz="0" w:space="0" w:color="auto"/>
            <w:left w:val="none" w:sz="0" w:space="0" w:color="auto"/>
            <w:bottom w:val="none" w:sz="0" w:space="0" w:color="auto"/>
            <w:right w:val="none" w:sz="0" w:space="0" w:color="auto"/>
          </w:divBdr>
        </w:div>
      </w:divsChild>
    </w:div>
    <w:div w:id="1422680312">
      <w:bodyDiv w:val="1"/>
      <w:marLeft w:val="0"/>
      <w:marRight w:val="0"/>
      <w:marTop w:val="0"/>
      <w:marBottom w:val="0"/>
      <w:divBdr>
        <w:top w:val="none" w:sz="0" w:space="0" w:color="auto"/>
        <w:left w:val="none" w:sz="0" w:space="0" w:color="auto"/>
        <w:bottom w:val="none" w:sz="0" w:space="0" w:color="auto"/>
        <w:right w:val="none" w:sz="0" w:space="0" w:color="auto"/>
      </w:divBdr>
    </w:div>
    <w:div w:id="1457523176">
      <w:bodyDiv w:val="1"/>
      <w:marLeft w:val="0"/>
      <w:marRight w:val="0"/>
      <w:marTop w:val="0"/>
      <w:marBottom w:val="0"/>
      <w:divBdr>
        <w:top w:val="none" w:sz="0" w:space="0" w:color="auto"/>
        <w:left w:val="none" w:sz="0" w:space="0" w:color="auto"/>
        <w:bottom w:val="none" w:sz="0" w:space="0" w:color="auto"/>
        <w:right w:val="none" w:sz="0" w:space="0" w:color="auto"/>
      </w:divBdr>
    </w:div>
    <w:div w:id="1489861692">
      <w:bodyDiv w:val="1"/>
      <w:marLeft w:val="0"/>
      <w:marRight w:val="0"/>
      <w:marTop w:val="0"/>
      <w:marBottom w:val="0"/>
      <w:divBdr>
        <w:top w:val="none" w:sz="0" w:space="0" w:color="auto"/>
        <w:left w:val="none" w:sz="0" w:space="0" w:color="auto"/>
        <w:bottom w:val="none" w:sz="0" w:space="0" w:color="auto"/>
        <w:right w:val="none" w:sz="0" w:space="0" w:color="auto"/>
      </w:divBdr>
    </w:div>
    <w:div w:id="1510942660">
      <w:bodyDiv w:val="1"/>
      <w:marLeft w:val="0"/>
      <w:marRight w:val="0"/>
      <w:marTop w:val="0"/>
      <w:marBottom w:val="0"/>
      <w:divBdr>
        <w:top w:val="none" w:sz="0" w:space="0" w:color="auto"/>
        <w:left w:val="none" w:sz="0" w:space="0" w:color="auto"/>
        <w:bottom w:val="none" w:sz="0" w:space="0" w:color="auto"/>
        <w:right w:val="none" w:sz="0" w:space="0" w:color="auto"/>
      </w:divBdr>
    </w:div>
    <w:div w:id="1515916171">
      <w:bodyDiv w:val="1"/>
      <w:marLeft w:val="0"/>
      <w:marRight w:val="0"/>
      <w:marTop w:val="0"/>
      <w:marBottom w:val="0"/>
      <w:divBdr>
        <w:top w:val="none" w:sz="0" w:space="0" w:color="auto"/>
        <w:left w:val="none" w:sz="0" w:space="0" w:color="auto"/>
        <w:bottom w:val="none" w:sz="0" w:space="0" w:color="auto"/>
        <w:right w:val="none" w:sz="0" w:space="0" w:color="auto"/>
      </w:divBdr>
    </w:div>
    <w:div w:id="1519149980">
      <w:bodyDiv w:val="1"/>
      <w:marLeft w:val="0"/>
      <w:marRight w:val="0"/>
      <w:marTop w:val="0"/>
      <w:marBottom w:val="0"/>
      <w:divBdr>
        <w:top w:val="none" w:sz="0" w:space="0" w:color="auto"/>
        <w:left w:val="none" w:sz="0" w:space="0" w:color="auto"/>
        <w:bottom w:val="none" w:sz="0" w:space="0" w:color="auto"/>
        <w:right w:val="none" w:sz="0" w:space="0" w:color="auto"/>
      </w:divBdr>
    </w:div>
    <w:div w:id="1538615858">
      <w:bodyDiv w:val="1"/>
      <w:marLeft w:val="0"/>
      <w:marRight w:val="0"/>
      <w:marTop w:val="0"/>
      <w:marBottom w:val="0"/>
      <w:divBdr>
        <w:top w:val="none" w:sz="0" w:space="0" w:color="auto"/>
        <w:left w:val="none" w:sz="0" w:space="0" w:color="auto"/>
        <w:bottom w:val="none" w:sz="0" w:space="0" w:color="auto"/>
        <w:right w:val="none" w:sz="0" w:space="0" w:color="auto"/>
      </w:divBdr>
    </w:div>
    <w:div w:id="1634021734">
      <w:bodyDiv w:val="1"/>
      <w:marLeft w:val="0"/>
      <w:marRight w:val="0"/>
      <w:marTop w:val="0"/>
      <w:marBottom w:val="0"/>
      <w:divBdr>
        <w:top w:val="none" w:sz="0" w:space="0" w:color="auto"/>
        <w:left w:val="none" w:sz="0" w:space="0" w:color="auto"/>
        <w:bottom w:val="none" w:sz="0" w:space="0" w:color="auto"/>
        <w:right w:val="none" w:sz="0" w:space="0" w:color="auto"/>
      </w:divBdr>
    </w:div>
    <w:div w:id="1651401369">
      <w:bodyDiv w:val="1"/>
      <w:marLeft w:val="0"/>
      <w:marRight w:val="0"/>
      <w:marTop w:val="0"/>
      <w:marBottom w:val="0"/>
      <w:divBdr>
        <w:top w:val="none" w:sz="0" w:space="0" w:color="auto"/>
        <w:left w:val="none" w:sz="0" w:space="0" w:color="auto"/>
        <w:bottom w:val="none" w:sz="0" w:space="0" w:color="auto"/>
        <w:right w:val="none" w:sz="0" w:space="0" w:color="auto"/>
      </w:divBdr>
    </w:div>
    <w:div w:id="1653215030">
      <w:bodyDiv w:val="1"/>
      <w:marLeft w:val="0"/>
      <w:marRight w:val="0"/>
      <w:marTop w:val="0"/>
      <w:marBottom w:val="0"/>
      <w:divBdr>
        <w:top w:val="none" w:sz="0" w:space="0" w:color="auto"/>
        <w:left w:val="none" w:sz="0" w:space="0" w:color="auto"/>
        <w:bottom w:val="none" w:sz="0" w:space="0" w:color="auto"/>
        <w:right w:val="none" w:sz="0" w:space="0" w:color="auto"/>
      </w:divBdr>
    </w:div>
    <w:div w:id="1720082344">
      <w:bodyDiv w:val="1"/>
      <w:marLeft w:val="0"/>
      <w:marRight w:val="0"/>
      <w:marTop w:val="0"/>
      <w:marBottom w:val="0"/>
      <w:divBdr>
        <w:top w:val="none" w:sz="0" w:space="0" w:color="auto"/>
        <w:left w:val="none" w:sz="0" w:space="0" w:color="auto"/>
        <w:bottom w:val="none" w:sz="0" w:space="0" w:color="auto"/>
        <w:right w:val="none" w:sz="0" w:space="0" w:color="auto"/>
      </w:divBdr>
    </w:div>
    <w:div w:id="1730376426">
      <w:bodyDiv w:val="1"/>
      <w:marLeft w:val="0"/>
      <w:marRight w:val="0"/>
      <w:marTop w:val="0"/>
      <w:marBottom w:val="0"/>
      <w:divBdr>
        <w:top w:val="none" w:sz="0" w:space="0" w:color="auto"/>
        <w:left w:val="none" w:sz="0" w:space="0" w:color="auto"/>
        <w:bottom w:val="none" w:sz="0" w:space="0" w:color="auto"/>
        <w:right w:val="none" w:sz="0" w:space="0" w:color="auto"/>
      </w:divBdr>
    </w:div>
    <w:div w:id="1734620650">
      <w:bodyDiv w:val="1"/>
      <w:marLeft w:val="0"/>
      <w:marRight w:val="0"/>
      <w:marTop w:val="0"/>
      <w:marBottom w:val="0"/>
      <w:divBdr>
        <w:top w:val="none" w:sz="0" w:space="0" w:color="auto"/>
        <w:left w:val="none" w:sz="0" w:space="0" w:color="auto"/>
        <w:bottom w:val="none" w:sz="0" w:space="0" w:color="auto"/>
        <w:right w:val="none" w:sz="0" w:space="0" w:color="auto"/>
      </w:divBdr>
    </w:div>
    <w:div w:id="1749963614">
      <w:bodyDiv w:val="1"/>
      <w:marLeft w:val="0"/>
      <w:marRight w:val="0"/>
      <w:marTop w:val="0"/>
      <w:marBottom w:val="0"/>
      <w:divBdr>
        <w:top w:val="none" w:sz="0" w:space="0" w:color="auto"/>
        <w:left w:val="none" w:sz="0" w:space="0" w:color="auto"/>
        <w:bottom w:val="none" w:sz="0" w:space="0" w:color="auto"/>
        <w:right w:val="none" w:sz="0" w:space="0" w:color="auto"/>
      </w:divBdr>
    </w:div>
    <w:div w:id="1750038027">
      <w:bodyDiv w:val="1"/>
      <w:marLeft w:val="0"/>
      <w:marRight w:val="0"/>
      <w:marTop w:val="0"/>
      <w:marBottom w:val="0"/>
      <w:divBdr>
        <w:top w:val="none" w:sz="0" w:space="0" w:color="auto"/>
        <w:left w:val="none" w:sz="0" w:space="0" w:color="auto"/>
        <w:bottom w:val="none" w:sz="0" w:space="0" w:color="auto"/>
        <w:right w:val="none" w:sz="0" w:space="0" w:color="auto"/>
      </w:divBdr>
    </w:div>
    <w:div w:id="1817648795">
      <w:bodyDiv w:val="1"/>
      <w:marLeft w:val="0"/>
      <w:marRight w:val="0"/>
      <w:marTop w:val="0"/>
      <w:marBottom w:val="0"/>
      <w:divBdr>
        <w:top w:val="none" w:sz="0" w:space="0" w:color="auto"/>
        <w:left w:val="none" w:sz="0" w:space="0" w:color="auto"/>
        <w:bottom w:val="none" w:sz="0" w:space="0" w:color="auto"/>
        <w:right w:val="none" w:sz="0" w:space="0" w:color="auto"/>
      </w:divBdr>
    </w:div>
    <w:div w:id="1912082275">
      <w:bodyDiv w:val="1"/>
      <w:marLeft w:val="0"/>
      <w:marRight w:val="0"/>
      <w:marTop w:val="0"/>
      <w:marBottom w:val="0"/>
      <w:divBdr>
        <w:top w:val="none" w:sz="0" w:space="0" w:color="auto"/>
        <w:left w:val="none" w:sz="0" w:space="0" w:color="auto"/>
        <w:bottom w:val="none" w:sz="0" w:space="0" w:color="auto"/>
        <w:right w:val="none" w:sz="0" w:space="0" w:color="auto"/>
      </w:divBdr>
    </w:div>
    <w:div w:id="1937900789">
      <w:bodyDiv w:val="1"/>
      <w:marLeft w:val="0"/>
      <w:marRight w:val="0"/>
      <w:marTop w:val="0"/>
      <w:marBottom w:val="0"/>
      <w:divBdr>
        <w:top w:val="none" w:sz="0" w:space="0" w:color="auto"/>
        <w:left w:val="none" w:sz="0" w:space="0" w:color="auto"/>
        <w:bottom w:val="none" w:sz="0" w:space="0" w:color="auto"/>
        <w:right w:val="none" w:sz="0" w:space="0" w:color="auto"/>
      </w:divBdr>
    </w:div>
    <w:div w:id="1952711005">
      <w:bodyDiv w:val="1"/>
      <w:marLeft w:val="0"/>
      <w:marRight w:val="0"/>
      <w:marTop w:val="0"/>
      <w:marBottom w:val="0"/>
      <w:divBdr>
        <w:top w:val="none" w:sz="0" w:space="0" w:color="auto"/>
        <w:left w:val="none" w:sz="0" w:space="0" w:color="auto"/>
        <w:bottom w:val="none" w:sz="0" w:space="0" w:color="auto"/>
        <w:right w:val="none" w:sz="0" w:space="0" w:color="auto"/>
      </w:divBdr>
    </w:div>
    <w:div w:id="1971936996">
      <w:bodyDiv w:val="1"/>
      <w:marLeft w:val="0"/>
      <w:marRight w:val="0"/>
      <w:marTop w:val="0"/>
      <w:marBottom w:val="0"/>
      <w:divBdr>
        <w:top w:val="none" w:sz="0" w:space="0" w:color="auto"/>
        <w:left w:val="none" w:sz="0" w:space="0" w:color="auto"/>
        <w:bottom w:val="none" w:sz="0" w:space="0" w:color="auto"/>
        <w:right w:val="none" w:sz="0" w:space="0" w:color="auto"/>
      </w:divBdr>
    </w:div>
    <w:div w:id="1992519556">
      <w:bodyDiv w:val="1"/>
      <w:marLeft w:val="0"/>
      <w:marRight w:val="0"/>
      <w:marTop w:val="0"/>
      <w:marBottom w:val="0"/>
      <w:divBdr>
        <w:top w:val="none" w:sz="0" w:space="0" w:color="auto"/>
        <w:left w:val="none" w:sz="0" w:space="0" w:color="auto"/>
        <w:bottom w:val="none" w:sz="0" w:space="0" w:color="auto"/>
        <w:right w:val="none" w:sz="0" w:space="0" w:color="auto"/>
      </w:divBdr>
    </w:div>
    <w:div w:id="2003703885">
      <w:bodyDiv w:val="1"/>
      <w:marLeft w:val="0"/>
      <w:marRight w:val="0"/>
      <w:marTop w:val="0"/>
      <w:marBottom w:val="0"/>
      <w:divBdr>
        <w:top w:val="none" w:sz="0" w:space="0" w:color="auto"/>
        <w:left w:val="none" w:sz="0" w:space="0" w:color="auto"/>
        <w:bottom w:val="none" w:sz="0" w:space="0" w:color="auto"/>
        <w:right w:val="none" w:sz="0" w:space="0" w:color="auto"/>
      </w:divBdr>
    </w:div>
    <w:div w:id="2027712042">
      <w:bodyDiv w:val="1"/>
      <w:marLeft w:val="0"/>
      <w:marRight w:val="0"/>
      <w:marTop w:val="0"/>
      <w:marBottom w:val="0"/>
      <w:divBdr>
        <w:top w:val="none" w:sz="0" w:space="0" w:color="auto"/>
        <w:left w:val="none" w:sz="0" w:space="0" w:color="auto"/>
        <w:bottom w:val="none" w:sz="0" w:space="0" w:color="auto"/>
        <w:right w:val="none" w:sz="0" w:space="0" w:color="auto"/>
      </w:divBdr>
      <w:divsChild>
        <w:div w:id="2028558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90632">
              <w:marLeft w:val="0"/>
              <w:marRight w:val="0"/>
              <w:marTop w:val="0"/>
              <w:marBottom w:val="0"/>
              <w:divBdr>
                <w:top w:val="none" w:sz="0" w:space="0" w:color="auto"/>
                <w:left w:val="none" w:sz="0" w:space="0" w:color="auto"/>
                <w:bottom w:val="none" w:sz="0" w:space="0" w:color="auto"/>
                <w:right w:val="none" w:sz="0" w:space="0" w:color="auto"/>
              </w:divBdr>
              <w:divsChild>
                <w:div w:id="680010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6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ara.gov.co/representantes/martha-patricia-villalba-hodwalker" TargetMode="External"/><Relationship Id="rId13" Type="http://schemas.openxmlformats.org/officeDocument/2006/relationships/image" Target="media/image3.png"/><Relationship Id="rId18" Type="http://schemas.openxmlformats.org/officeDocument/2006/relationships/hyperlink" Target="http://www.medicinalegal.gov.co/observatorio-de-violencia"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edicinalegal.gov.co/cifras-de-lesiones-de-causa-externa"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icinalegal.gov.co/observatorio-de-violencia"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mara.gov.co/representantes/harry-giovanny-gonzalez-garcia"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www.medicinalegal.gov.co/documents/20143/386932/Forensis+2018.pdf/be4816a4-3da3-1ff0-2779-e7b5e3962d60?version=1.1" TargetMode="External"/><Relationship Id="rId1" Type="http://schemas.openxmlformats.org/officeDocument/2006/relationships/hyperlink" Target="https://www.unicef.org/protection/files/Evidence_Review_SEA_(Radford_et_al)(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0D490-23E5-4E34-B43D-D6FE4753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48</Pages>
  <Words>13739</Words>
  <Characters>75566</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VALENZUELA</dc:creator>
  <cp:lastModifiedBy>maria.vargas</cp:lastModifiedBy>
  <cp:revision>35</cp:revision>
  <cp:lastPrinted>2019-08-15T19:11:00Z</cp:lastPrinted>
  <dcterms:created xsi:type="dcterms:W3CDTF">2019-08-15T17:26:00Z</dcterms:created>
  <dcterms:modified xsi:type="dcterms:W3CDTF">2019-08-15T19:19:00Z</dcterms:modified>
</cp:coreProperties>
</file>